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480"/>
        <w:jc w:val="center"/>
        <w:rPr>
          <w:rFonts w:ascii="Times New Roman" w:hAnsi="Times New Roman" w:cs="Times New Roman"/>
          <w:bCs/>
          <w14:ligatures w14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</w:t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Правительства Российской Федераци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16 февраля 2008 г. № 87</w:t>
      </w:r>
      <w:r>
        <w:rPr>
          <w:rFonts w:ascii="Times New Roman" w:hAnsi="Times New Roman" w:cs="Times New Roman"/>
          <w:bCs/>
          <w14:ligatures w14:val="none"/>
        </w:rPr>
      </w:r>
      <w:r>
        <w:rPr>
          <w:rFonts w:ascii="Times New Roman" w:hAnsi="Times New Roman" w:cs="Times New Roman"/>
          <w:bCs/>
          <w14:ligatures w14:val="none"/>
        </w:rPr>
      </w:r>
    </w:p>
    <w:p>
      <w:pPr>
        <w:tabs>
          <w:tab w:val="left" w:pos="8126" w:leader="none"/>
        </w:tabs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Российской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eastAsia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60"/>
          <w:sz w:val="28"/>
          <w:szCs w:val="28"/>
        </w:rPr>
        <w:t xml:space="preserve">постановляе</w:t>
      </w:r>
      <w:r>
        <w:rPr>
          <w:rFonts w:ascii="Times New Roman" w:hAnsi="Times New Roman" w:cs="Times New Roman"/>
          <w:b/>
          <w:sz w:val="28"/>
          <w:szCs w:val="28"/>
        </w:rPr>
        <w:t xml:space="preserve">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 Утвердить прилагаемые изменения, которые вносятся в Положение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 составе разделов проектной документации и требованиях к их содержанию, утвержденное постановлением Правительства Российской Федерации </w:t>
      </w:r>
      <w:r>
        <w:rPr>
          <w:rFonts w:ascii="Times New Roman" w:hAnsi="Times New Roman"/>
          <w:sz w:val="28"/>
          <w:szCs w:val="28"/>
        </w:rPr>
        <w:br/>
        <w:t xml:space="preserve">от 16 февраля 2008 г. № 87 "О составе разделов проектной</w:t>
        <w:br/>
        <w:t xml:space="preserve">документации </w:t>
      </w:r>
      <w:r>
        <w:rPr>
          <w:rFonts w:ascii="Times New Roman" w:hAnsi="Times New Roman"/>
          <w:sz w:val="28"/>
          <w:szCs w:val="28"/>
        </w:rPr>
        <w:t xml:space="preserve">и требованиях к их содержанию" (Собрание законод</w:t>
      </w:r>
      <w:r>
        <w:rPr>
          <w:rFonts w:ascii="Times New Roman" w:hAnsi="Times New Roman"/>
          <w:sz w:val="28"/>
          <w:szCs w:val="28"/>
        </w:rPr>
        <w:t xml:space="preserve">ательства Российской Федерации, 2008, № 8, ст. 744; 2009, № 21, ст. 2576;</w:t>
        <w:br/>
        <w:t xml:space="preserve">№ 52, ст. 6574; 2010, № 16, ст. 1920; № 51, ст. 6937; 2011, № 8, ст. 1118; 2012, № 27, ст. 3738; № 32, ст. 4571; 2013, № 17, ст. 2174; № 20, ст. 2478; № 32, ст. 4328; 2014, № 14, ст.</w:t>
      </w:r>
      <w:r>
        <w:rPr>
          <w:rFonts w:ascii="Times New Roman" w:hAnsi="Times New Roman"/>
          <w:sz w:val="28"/>
          <w:szCs w:val="28"/>
        </w:rPr>
        <w:t xml:space="preserve"> 1627; № 50, ст. 7125; 2015, № 31, ст. 4700; № 45, ст. 6245; 2016, № 5, ст. 698; № 48, ст. 6764; 2017, № 6, ст. 942; № 19, ст. 2843; № 21, ст. 3015; № 29, ст. 4368; № 38, ст. 5619; № 51, ст. 7839; 2018, № 13, ст. 1779; № 18, ст. 2630; № 39, ст. 5970; 2019,</w:t>
      </w:r>
      <w:r>
        <w:rPr>
          <w:rFonts w:ascii="Times New Roman" w:hAnsi="Times New Roman"/>
          <w:sz w:val="28"/>
          <w:szCs w:val="28"/>
        </w:rPr>
        <w:t xml:space="preserve"> № 28, ст. 3788; 2020, № 18, ст. 291</w:t>
      </w:r>
      <w:r>
        <w:rPr>
          <w:rFonts w:ascii="Times New Roman" w:hAnsi="Times New Roman"/>
          <w:sz w:val="28"/>
          <w:szCs w:val="28"/>
          <w:highlight w:val="white"/>
        </w:rPr>
        <w:t xml:space="preserve">6; № 41, </w:t>
      </w:r>
      <w:r>
        <w:rPr>
          <w:rFonts w:ascii="Times New Roman" w:hAnsi="Times New Roman"/>
          <w:spacing w:val="-6"/>
          <w:sz w:val="28"/>
          <w:szCs w:val="28"/>
          <w:highlight w:val="white"/>
        </w:rPr>
        <w:t xml:space="preserve">ст. 6432; № 52, ст. 8863; 2021, № 16, ст. 2787; № 30, ст. 5775; № 50, 8553; 2022, № 17, ст. 2918; № 23, ст. 3791; 2023, № 20, ст. 3552; № 39, ст. 7024; 2024, № 20, ст. 2624; 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53,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ст. </w:t>
      </w:r>
      <w:r>
        <w:rPr>
          <w:rFonts w:ascii="Times New Roman" w:hAnsi="Times New Roman"/>
          <w:sz w:val="28"/>
          <w:szCs w:val="28"/>
        </w:rPr>
        <w:t xml:space="preserve">8762;  2025, № 40, ст. 5882</w:t>
      </w:r>
      <w:r>
        <w:rPr>
          <w:rFonts w:ascii="Times New Roman" w:hAnsi="Times New Roman"/>
          <w:sz w:val="28"/>
          <w:szCs w:val="28"/>
        </w:rPr>
        <w:t xml:space="preserve">; № 43, ст. 6408).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 Настоящее постановление вступает в силу с 1 сентября 2027 г.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18"/>
        <w:tblW w:w="9782" w:type="dxa"/>
        <w:tblInd w:w="-2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12"/>
        <w:gridCol w:w="5670"/>
      </w:tblGrid>
      <w:tr>
        <w:trPr/>
        <w:tblPrEx/>
        <w:tc>
          <w:tcPr>
            <w:tcW w:w="4112" w:type="dxa"/>
            <w:noWrap w:val="false"/>
            <w:textDirection w:val="lrTb"/>
          </w:tcPr>
          <w:p>
            <w:pPr>
              <w:tabs>
                <w:tab w:val="center" w:pos="1758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center" w:pos="1758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670" w:type="dxa"/>
            <w:noWrap w:val="false"/>
            <w:textDirection w:val="lrTb"/>
          </w:tcPr>
          <w:p>
            <w:pPr>
              <w:tabs>
                <w:tab w:val="center" w:pos="1758" w:leader="none"/>
              </w:tabs>
              <w:spacing w:line="228" w:lineRule="auto"/>
              <w:ind w:right="3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tabs>
                <w:tab w:val="center" w:pos="1758" w:leader="none"/>
              </w:tabs>
              <w:spacing w:line="228" w:lineRule="auto"/>
              <w:ind w:right="3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Мишустин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tabs>
          <w:tab w:val="center" w:pos="1758" w:leader="none"/>
        </w:tabs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center" w:pos="1758" w:leader="none"/>
          <w:tab w:val="right" w:pos="9356" w:leader="none"/>
        </w:tabs>
        <w:spacing w:line="228" w:lineRule="auto"/>
        <w:rPr>
          <w:rFonts w:ascii="Times New Roman" w:hAnsi="Times New Roman" w:cs="Times New Roman"/>
          <w:sz w:val="28"/>
          <w:szCs w:val="28"/>
        </w:rPr>
        <w:sectPr>
          <w:headerReference w:type="default" r:id="rId9"/>
          <w:headerReference w:type="first" r:id="rId10"/>
          <w:footnotePr/>
          <w:endnotePr/>
          <w:type w:val="nextPage"/>
          <w:pgSz w:w="11907" w:h="16840" w:orient="portrait"/>
          <w:pgMar w:top="1134" w:right="850" w:bottom="1134" w:left="1701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120"/>
        <w:ind w:left="499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УТВЕРЖДЕНЫ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499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постановлением Правительства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499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1400"/>
        <w:ind w:left="499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                              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1400" w:after="12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И З М Е Н Е Н И Я,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48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которые вносятся в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Положение о составе разделов проектной документации и требованиях к их содержанию, утвержденное постановлением Правительства Российской Федерации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br/>
        <w:t xml:space="preserve">от 16 февраля 2008 г. № 87 "О составе разделов проектной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документации и требованиях к их содержанию"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64"/>
        <w:numPr>
          <w:numId w:val="1"/>
          <w:ilvl w:val="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Пункт 43 дополнить абзацем следующего содержания: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Style w:val="964"/>
        <w:numPr>
          <w:numId w:val="33"/>
          <w:ilvl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"Особенности состава разделов проектной документации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br/>
        <w:t xml:space="preserve">для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и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требований к их содержанию приведены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в приложении № 11.".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Style w:val="964"/>
        <w:numPr>
          <w:numId w:val="1"/>
          <w:ilvl w:val="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ополнить приложением № 11 следующего содержания: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5103"/>
        <w:jc w:val="center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"Приложение № 11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5103"/>
        <w:jc w:val="center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к Положению о составе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5103"/>
        <w:jc w:val="center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разделов проектной документации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5103"/>
        <w:jc w:val="center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и требованиях к их содержанию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jc w:val="center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Особенности состава разделов проектной документации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br/>
        <w:t xml:space="preserve">для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 </w:t>
        <w:br/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и требований к их содержанию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Style w:val="964"/>
        <w:numPr>
          <w:numId w:val="9"/>
          <w:ilvl w:val="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Проектная документация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для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(далее –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очистные сооружения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выполняется в составе, предусмотренном разделом II Положения о составе разделов проектной документации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и требованиях к их содержанию, утвержденного постановлением </w:t>
      </w:r>
      <w:r>
        <w:rPr>
          <w:rFonts w:ascii="Times New Roman" w:hAnsi="Times New Roman"/>
          <w:color w:val="000000"/>
          <w:sz w:val="28"/>
          <w:szCs w:val="28"/>
        </w:rPr>
        <w:t xml:space="preserve">Правительства Российской Федерации от 16 февраля 2008 г. </w:t>
      </w:r>
      <w:r>
        <w:rPr>
          <w:rFonts w:ascii="Times New Roman" w:hAnsi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/>
          <w:color w:val="000000"/>
          <w:sz w:val="28"/>
          <w:szCs w:val="28"/>
        </w:rPr>
        <w:t xml:space="preserve"> 87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"О составе разделов проектной документации и требованиях к их </w:t>
      </w:r>
      <w:r>
        <w:rPr>
          <w:rFonts w:ascii="Times New Roman" w:hAnsi="Times New Roman"/>
          <w:color w:val="000000"/>
          <w:sz w:val="28"/>
          <w:szCs w:val="28"/>
        </w:rPr>
        <w:t xml:space="preserve">содержанию", с учетом особенностей, предусмотренных настоящим документом.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96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709"/>
        <w:jc w:val="both"/>
        <w:rPr>
          <w:rFonts w:ascii="Times New Roman" w:hAnsi="Times New Roman"/>
          <w:color w:val="000000"/>
          <w:sz w:val="10"/>
          <w:szCs w:val="10"/>
        </w:rPr>
      </w:pPr>
      <w:r>
        <w:rPr>
          <w:rFonts w:ascii="Times New Roman" w:hAnsi="Times New Roman"/>
          <w:color w:val="000000"/>
          <w:sz w:val="10"/>
          <w:szCs w:val="10"/>
        </w:rPr>
      </w:r>
      <w:r>
        <w:rPr>
          <w:rFonts w:ascii="Times New Roman" w:hAnsi="Times New Roman"/>
          <w:color w:val="000000"/>
          <w:sz w:val="10"/>
          <w:szCs w:val="10"/>
        </w:rPr>
      </w:r>
      <w:r>
        <w:rPr>
          <w:rFonts w:ascii="Times New Roman" w:hAnsi="Times New Roman"/>
          <w:color w:val="000000"/>
          <w:sz w:val="10"/>
          <w:szCs w:val="10"/>
        </w:rPr>
      </w:r>
    </w:p>
    <w:p>
      <w:pPr>
        <w:pStyle w:val="964"/>
        <w:numPr>
          <w:numId w:val="9"/>
          <w:ilvl w:val="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Раздел 1 "Пояснительная записка" дополнительно содержит: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96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240" w:line="360" w:lineRule="auto"/>
        <w:ind w:left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текстовой части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left="0" w:right="0" w:firstLine="709"/>
        <w:jc w:val="both"/>
        <w:rPr>
          <w:rFonts w:ascii="Times New Roman" w:hAnsi="Times New Roman" w:eastAsia="Liberation Serif"/>
          <w:sz w:val="28"/>
          <w:szCs w:val="28"/>
          <w14:ligatures w14:val="non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исходные данные и условия для подготовки проектной документации, указанные в подпунктах "б" и "к" пункта 10 Положения, </w:t>
        <w:br/>
        <w:t xml:space="preserve">а также реквизиты утвер</w:t>
      </w:r>
      <w:r>
        <w:rPr>
          <w:rFonts w:ascii="Times New Roman" w:hAnsi="Times New Roman" w:eastAsia="Liberation Serif"/>
          <w:sz w:val="28"/>
          <w:szCs w:val="28"/>
        </w:rPr>
        <w:t xml:space="preserve">жденной в установленно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м порядке 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предпроектной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 документации "Основные те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хнически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е решения (ОТР)" (в случае, если разработка ОТР предусмотрена заданием на проектирование 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с учетом требований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пункта 3 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настоящего Положения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для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 очистных сооружений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; при отсутствии требований  </w:t>
      </w:r>
      <w:r>
        <w:rPr>
          <w:rFonts w:ascii="Times New Roman" w:hAnsi="Times New Roman" w:eastAsia="Liberation Serif"/>
          <w:sz w:val="28"/>
          <w:szCs w:val="28"/>
          <w:highlight w:val="white"/>
        </w:rPr>
        <w:t xml:space="preserve">о разработке ОТР указы</w:t>
      </w:r>
      <w:r>
        <w:rPr>
          <w:rFonts w:ascii="Times New Roman" w:hAnsi="Times New Roman" w:eastAsia="Liberation Serif"/>
          <w:sz w:val="28"/>
          <w:szCs w:val="28"/>
        </w:rPr>
        <w:t xml:space="preserve">вается "не  разрабатывались")</w:t>
      </w:r>
      <w:r>
        <w:rPr>
          <w:rFonts w:ascii="Times New Roman" w:hAnsi="Times New Roman" w:eastAsia="Liberation Serif"/>
          <w:sz w:val="28"/>
          <w:szCs w:val="28"/>
        </w:rPr>
        <w:t xml:space="preserve">;</w:t>
      </w:r>
      <w:r>
        <w:rPr>
          <w:rFonts w:ascii="Times New Roman" w:hAnsi="Times New Roman" w:eastAsia="Liberation Serif"/>
          <w:sz w:val="28"/>
          <w:szCs w:val="28"/>
          <w14:ligatures w14:val="none"/>
        </w:rPr>
      </w:r>
      <w:r>
        <w:rPr>
          <w:rFonts w:ascii="Times New Roman" w:hAnsi="Times New Roman" w:eastAsia="Liberation Serif"/>
          <w:sz w:val="28"/>
          <w:szCs w:val="28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left="0" w:right="0" w:firstLine="709"/>
        <w:jc w:val="both"/>
        <w:rPr>
          <w:rFonts w:ascii="Times New Roman" w:hAnsi="Times New Roman" w:eastAsia="Liberation Serif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Liberation Serif"/>
          <w:sz w:val="28"/>
          <w:szCs w:val="28"/>
        </w:rPr>
      </w:r>
      <w:r>
        <w:rPr>
          <w:rFonts w:ascii="Times New Roman" w:hAnsi="Times New Roman" w:eastAsia="Liberation Serif"/>
          <w:sz w:val="28"/>
          <w:szCs w:val="28"/>
        </w:rPr>
        <w:t xml:space="preserve">Документы (копии документов, оформленные в установленном порядке), указанные в подпунктах "б" </w:t>
      </w:r>
      <w:r>
        <w:rPr>
          <w:rFonts w:ascii="Times New Roman" w:hAnsi="Times New Roman" w:eastAsia="Liberation Serif"/>
          <w:sz w:val="28"/>
          <w:szCs w:val="28"/>
        </w:rPr>
        <w:t xml:space="preserve">и "к" пункта 10 Положения, должны быть приложены к пояснительной записке в полном объеме.</w:t>
      </w:r>
      <w:r>
        <w:rPr>
          <w:rFonts w:ascii="Times New Roman" w:hAnsi="Times New Roman" w:eastAsia="Liberation Serif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Liberation Serif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0" w:right="0" w:firstLine="709"/>
        <w:jc w:val="both"/>
        <w:rPr>
          <w:rFonts w:ascii="Times New Roman" w:hAnsi="Times New Roman" w:eastAsia="Liberation Serif"/>
          <w:sz w:val="10"/>
          <w:szCs w:val="10"/>
          <w14:ligatures w14:val="none"/>
        </w:rPr>
      </w:pPr>
      <w:r>
        <w:rPr>
          <w:rFonts w:ascii="Times New Roman" w:hAnsi="Times New Roman" w:eastAsia="Liberation Serif"/>
          <w:sz w:val="10"/>
          <w:szCs w:val="10"/>
          <w:highlight w:val="none"/>
        </w:rPr>
      </w:r>
      <w:r>
        <w:rPr>
          <w:rFonts w:ascii="Times New Roman" w:hAnsi="Times New Roman" w:eastAsia="Liberation Serif"/>
          <w:sz w:val="10"/>
          <w:szCs w:val="10"/>
          <w14:ligatures w14:val="none"/>
        </w:rPr>
      </w:r>
      <w:r>
        <w:rPr>
          <w:rFonts w:ascii="Times New Roman" w:hAnsi="Times New Roman" w:eastAsia="Liberation Serif"/>
          <w:sz w:val="10"/>
          <w:szCs w:val="10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709" w:firstLine="0"/>
        <w:jc w:val="both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 w:eastAsia="Liberation Serif"/>
          <w:sz w:val="2"/>
          <w:szCs w:val="2"/>
          <w:highlight w:val="none"/>
        </w:rPr>
      </w:r>
      <w:r>
        <w:rPr>
          <w:rFonts w:ascii="Times New Roman" w:hAnsi="Times New Roman"/>
          <w:color w:val="000000"/>
          <w:sz w:val="2"/>
          <w:szCs w:val="2"/>
        </w:rPr>
      </w:r>
      <w:r>
        <w:rPr>
          <w:rFonts w:ascii="Times New Roman" w:hAnsi="Times New Roman"/>
          <w:color w:val="000000"/>
          <w:sz w:val="2"/>
          <w:szCs w:val="2"/>
        </w:rPr>
      </w:r>
    </w:p>
    <w:p>
      <w:pPr>
        <w:pStyle w:val="964"/>
        <w:numPr>
          <w:numId w:val="9"/>
          <w:ilvl w:val="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Раздел 6. "Технологические решения" </w:t>
      </w:r>
      <w:r>
        <w:rPr>
          <w:rFonts w:ascii="Times New Roman" w:hAnsi="Times New Roman"/>
          <w:color w:val="000000"/>
          <w:sz w:val="28"/>
          <w:szCs w:val="28"/>
        </w:rPr>
        <w:t xml:space="preserve"> дополнительно содержит: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709" w:firstLine="0"/>
        <w:jc w:val="center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</w:rPr>
        <w:t xml:space="preserve">в текстовой части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709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60" w:lineRule="auto"/>
        <w:ind w:firstLine="720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  <w:t xml:space="preserve">а) для</w:t>
      </w:r>
      <w:r>
        <w:rPr>
          <w:rFonts w:ascii="Times New Roman" w:hAnsi="Times New Roman"/>
          <w:color w:val="000000"/>
          <w:sz w:val="28"/>
          <w:szCs w:val="28"/>
        </w:rPr>
        <w:t xml:space="preserve"> реконструируемых очистных сооружений: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сведения о проектной производительности очистных сооружений до начала разработки проектной документации;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сведения о фактическом объеме среднего притока сточных вод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за последние три года, предшествующие разработке проектной документации;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сведения о фактических среднегодовых значениях концентраций контролируемых загрязняющих веществ в поступающих сточных водах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за последние три года, предшествующие разработке проектной документации;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сведения о фактической численности населения, обслуживаемого очистными сооружениями (численность канализованного населения,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а также численность населения, обслуживаемого путем вывоза на данные очистные сооружения жидких коммунальных отходов);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сведения о промышленных предприятиях и иных источниках сбросов, которые могут оказывать </w:t>
      </w:r>
      <w:r>
        <w:rPr>
          <w:rFonts w:ascii="Times New Roman" w:hAnsi="Times New Roman"/>
          <w:color w:val="000000"/>
          <w:sz w:val="28"/>
          <w:szCs w:val="28"/>
        </w:rPr>
        <w:t xml:space="preserve">влияние на состав сточных вод: установленные факты нарушения правил приема сточных вод </w:t>
      </w:r>
      <w:r>
        <w:rPr>
          <w:rFonts w:ascii="Times New Roman" w:hAnsi="Times New Roman"/>
          <w:color w:val="000000"/>
          <w:sz w:val="28"/>
          <w:szCs w:val="28"/>
        </w:rPr>
        <w:t xml:space="preserve">в централизованную систему водоотведения;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сведения о </w:t>
      </w:r>
      <w:r>
        <w:rPr>
          <w:rFonts w:ascii="Times New Roman" w:hAnsi="Times New Roman"/>
          <w:color w:val="000000"/>
          <w:sz w:val="28"/>
          <w:szCs w:val="28"/>
        </w:rPr>
        <w:t xml:space="preserve">фактах негативного влияния промышленных сточных вод на очистные сооружения в течение трех лет до разработки проектной документации;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сведения о </w:t>
      </w:r>
      <w:r>
        <w:rPr>
          <w:rFonts w:ascii="Times New Roman" w:hAnsi="Times New Roman"/>
          <w:color w:val="000000"/>
          <w:sz w:val="28"/>
          <w:szCs w:val="28"/>
        </w:rPr>
        <w:t xml:space="preserve">приеме сточных вод с превышением допустимых значений нормативных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показателей, осуществляемом в установленном порядке на основании решений, принимаемых в соответствии</w:t>
        <w:br/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с законодательством Российской Федерации;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сведения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об оснащении и месте размещения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системами автоматического контроля сбросов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загрязняющих веществ в случаях, предусмо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тренных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законодательством Российской Федерации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  <w14:ligatures w14:val="none"/>
        </w:rPr>
      </w:r>
    </w:p>
    <w:p>
      <w:pPr>
        <w:pStyle w:val="96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0" w:firstLine="709"/>
        <w:jc w:val="both"/>
        <w:rPr>
          <w:rFonts w:ascii="Times New Roman" w:hAnsi="Times New Roman"/>
          <w:color w:val="000000"/>
          <w:sz w:val="10"/>
          <w:szCs w:val="10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10"/>
          <w:szCs w:val="10"/>
          <w:highlight w:val="white"/>
        </w:rPr>
      </w:r>
      <w:r>
        <w:rPr>
          <w:rFonts w:ascii="Times New Roman" w:hAnsi="Times New Roman"/>
          <w:color w:val="000000"/>
          <w:sz w:val="10"/>
          <w:szCs w:val="10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60" w:lineRule="auto"/>
        <w:ind w:firstLine="720"/>
        <w:jc w:val="left"/>
        <w:rPr>
          <w:rFonts w:ascii="Times New Roman" w:hAnsi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б) для вновь проек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тируемых очистных сооружений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расчетные исходные данные п</w:t>
      </w:r>
      <w:r>
        <w:rPr>
          <w:rFonts w:ascii="Times New Roman" w:hAnsi="Times New Roman"/>
          <w:color w:val="000000"/>
          <w:sz w:val="28"/>
          <w:szCs w:val="28"/>
        </w:rPr>
        <w:t xml:space="preserve">о параметрам сточных вод, расчетное обоснование проектной производительности очистных сооружений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с обоснованием их получения;</w:t>
      </w:r>
      <w:r>
        <w:rPr>
          <w:rFonts w:ascii="Times New Roman" w:hAnsi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/>
          <w:color w:val="000000"/>
          <w:sz w:val="28"/>
          <w:szCs w:val="28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сведения об учете в составе нагрузки на очистные сооружения с</w:t>
      </w:r>
      <w:r>
        <w:rPr>
          <w:rFonts w:ascii="Times New Roman" w:hAnsi="Times New Roman"/>
          <w:color w:val="000000"/>
          <w:sz w:val="28"/>
          <w:szCs w:val="28"/>
        </w:rPr>
        <w:t xml:space="preserve">бросов промышленных и иных абонентов, в которых превышаются максимально допустимые значения нормативных показателей общих свойств сточных вод и концентраций загрязняющих веществ в сточных водах, установленные в целях предотвращения негативного воздействия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на работу централизованных систем водоотведения, с указанием данных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по гидравлическим режимам поступления сточных вод, их температуры, концентрациям загрязняющих веществ;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обоснование расчетных диапазонов изменения расхода на очистных сооружениях и качества поступающих сточных вод с учетом данных производственного контроля и особенностей формирования сточных вод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в бассейне водоотведения;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соответствия основных проектных решений наилучшим доступным технологиям и их технологическим показателям согласно информационно-техническому спра</w:t>
      </w:r>
      <w:r>
        <w:rPr>
          <w:rFonts w:ascii="Times New Roman" w:hAnsi="Times New Roman"/>
          <w:color w:val="000000"/>
          <w:sz w:val="28"/>
          <w:szCs w:val="28"/>
        </w:rPr>
        <w:t xml:space="preserve">вочнику по наилучшим доступным технологиям "Очистка сточных вод с использованием централизованных систем водоотведения поселений, городских округов" (с учетом мощности данных очистных сооружений и применимости к ним технологий, содержащихся в справочнике);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описание технологической схемы, включая сведения о потоках сточных вод, осадка, воздуха, реагентов, других потоках, обеспечивающих процесс, а также процессах очистки газовых выбросов. Описание должно соответствовать графическому изображению схемы;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расчеты всех применяемых в проекте технологических процессов очистки сточных вод и обработки осадка, включая данные по объему, составу и характеристикам входящего и выходящего потока на стадию, установку, узел;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сведения о методиках, использованных для расчетов технологических процессов;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сводные результаты расчетов в табличной форме, включая потребность в технологических реагентах, потребление электроэнергии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на технологические процессы, других видах ресурсов для реализации технологических процессов;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расчетные данные по качеству сточных вод по технологически нормируемым веществам и параметрам по этапам технологического процесса;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результаты расчетов, подтверждающих гибкость принятых техн</w:t>
      </w:r>
      <w:r>
        <w:rPr>
          <w:rFonts w:ascii="Times New Roman" w:hAnsi="Times New Roman"/>
          <w:color w:val="000000"/>
          <w:sz w:val="28"/>
          <w:szCs w:val="28"/>
        </w:rPr>
        <w:t xml:space="preserve">ологических решений в условиях суточного и сезонного колебания параметров сточных вод и способность принятых решений обеспечивать требуемое качество очистки в расчетном диапазоне концентраций загрязняющих вещест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в, массовых нагрузок на очистные сооружения;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описание технологических решений по управлению процессом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br/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в условиях колебания параметров поступающих сточных вод, а также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br/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по адаптации технологической схемы и оборудования к сезонным и иным изменениям концентраций, нагрузок, а также температуры сточных вод;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описание возможных сценариев аварийных ситуаций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br/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на технологических сооружениях и действий по их локализации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br/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и устранению последствий;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сведения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об оснащении и месте размещения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системами автоматического контроля сбросов загрязняющих веществ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в случаях, предусмо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тренных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законодательством Российской Федерации</w:t>
      </w:r>
      <w:r>
        <w:rPr>
          <w:rFonts w:ascii="Times New Roman" w:hAnsi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16"/>
          <w:szCs w:val="16"/>
          <w:highlight w:val="white"/>
        </w:rPr>
      </w:pPr>
      <w:r>
        <w:rPr>
          <w:rFonts w:ascii="Times New Roman" w:hAnsi="Times New Roman"/>
          <w:color w:val="000000"/>
          <w:sz w:val="16"/>
          <w:szCs w:val="16"/>
          <w:highlight w:val="white"/>
        </w:rPr>
      </w:r>
      <w:r>
        <w:rPr>
          <w:rFonts w:ascii="Times New Roman" w:hAnsi="Times New Roman"/>
          <w:color w:val="000000"/>
          <w:sz w:val="16"/>
          <w:szCs w:val="16"/>
          <w:highlight w:val="white"/>
        </w:rPr>
      </w:r>
      <w:r>
        <w:rPr>
          <w:rFonts w:ascii="Times New Roman" w:hAnsi="Times New Roman"/>
          <w:color w:val="000000"/>
          <w:sz w:val="16"/>
          <w:szCs w:val="16"/>
          <w:highlight w:val="white"/>
        </w:rPr>
      </w:r>
    </w:p>
    <w:p>
      <w:pPr>
        <w:pStyle w:val="96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36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в графической части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000000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схему технологического процесса очистки сточных вод и обработки осадка, включая технологическую схему получения вторичного сырья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и продукции (при наличии соответствующих узлов в составе объекта)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с отображением: резервуаров и емкостей, технологического оборудования, запорно-регулирующей арматуры, контрольно-измерительных приборов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с экспликацией всех элементов и условными обозначениями трубопроводов. В состав данной схемы включаются процессы очистки газовых выбросов от сооружений и производственных зданий;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бал</w:t>
      </w:r>
      <w:r>
        <w:rPr>
          <w:rFonts w:ascii="Times New Roman" w:hAnsi="Times New Roman"/>
          <w:color w:val="000000"/>
          <w:sz w:val="28"/>
          <w:szCs w:val="28"/>
        </w:rPr>
        <w:t xml:space="preserve">ансовую схему технологического процесса с указанием объемных характеристик (расходов), масс и концентраций расчетных загрязняющих веществ для сточных вод, расходов, массы сухого вещества и его концентрации для осадков сточных вод. Для технологических схем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с подогревом сточных вод, а также для технологий обработки осадка,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в которых применяется подогрев, указывается температура. Для процессов, в которых существенно меняется рН среды, он также указывается;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высотную гидравлическую схему движения потоков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по сооружениям очистки сточных вод, включая сооружения обработки осадка.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96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left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___________________________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sectPr>
      <w:footnotePr/>
      <w:endnotePr/>
      <w:type w:val="nextPage"/>
      <w:pgSz w:w="11907" w:h="16840" w:orient="portrait"/>
      <w:pgMar w:top="1418" w:right="1418" w:bottom="1418" w:left="1418" w:header="709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Georgia">
    <w:panose1 w:val="02040502050405020303"/>
  </w:font>
  <w:font w:name="Arial">
    <w:panose1 w:val="020B0604020202020204"/>
  </w:font>
  <w:font w:name="Times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pos="4153" w:leader="none"/>
        <w:tab w:val="right" w:pos="8306" w:leader="none"/>
      </w:tabs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ascii="Times New Roman" w:hAnsi="Times New Roman" w:eastAsia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eastAsia="Times New Roman" w:cs="Times New Roman"/>
        <w:color w:val="000000"/>
        <w:sz w:val="24"/>
        <w:szCs w:val="24"/>
      </w:rPr>
      <w:instrText xml:space="preserve">PAGE</w:instrText>
    </w:r>
    <w:r>
      <w:rPr>
        <w:rFonts w:ascii="Times New Roman" w:hAnsi="Times New Roman" w:eastAsia="Times New Roman" w:cs="Times New Roman"/>
        <w:color w:val="000000"/>
        <w:sz w:val="24"/>
        <w:szCs w:val="24"/>
      </w:rPr>
      <w:fldChar w:fldCharType="separate"/>
    </w:r>
    <w:r>
      <w:rPr>
        <w:rFonts w:ascii="Times New Roman" w:hAnsi="Times New Roman" w:eastAsia="Times New Roman" w:cs="Times New Roman"/>
        <w:color w:val="000000"/>
        <w:sz w:val="24"/>
        <w:szCs w:val="24"/>
      </w:rPr>
      <w:t xml:space="preserve">5</w:t>
    </w:r>
    <w:r>
      <w:rPr>
        <w:rFonts w:ascii="Times New Roman" w:hAnsi="Times New Roman" w:eastAsia="Times New Roman" w:cs="Times New Roman"/>
        <w:color w:val="000000"/>
        <w:sz w:val="24"/>
        <w:szCs w:val="24"/>
      </w:rPr>
      <w:fldChar w:fldCharType="end"/>
    </w:r>
    <w:r>
      <w:rPr>
        <w:rFonts w:ascii="Times New Roman" w:hAnsi="Times New Roman" w:eastAsia="Times New Roman" w:cs="Times New Roman"/>
        <w:color w:val="000000"/>
        <w:sz w:val="24"/>
        <w:szCs w:val="24"/>
      </w:rPr>
    </w:r>
    <w:r>
      <w:rPr>
        <w:rFonts w:ascii="Times New Roman" w:hAnsi="Times New Roman" w:eastAsia="Times New Roman" w:cs="Times New Roman"/>
        <w:color w:val="000000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pos="4153" w:leader="none"/>
        <w:tab w:val="right" w:pos="8306" w:leader="none"/>
      </w:tabs>
      <w:jc w:val="center"/>
      <w:rPr>
        <w:rFonts w:ascii="Times New Roman" w:hAnsi="Times New Roman" w:eastAsia="Times New Roman" w:cs="Times New Roman"/>
        <w:color w:val="000000"/>
        <w:sz w:val="28"/>
        <w:szCs w:val="28"/>
      </w:rPr>
    </w:pPr>
    <w:r>
      <w:rPr>
        <w:rFonts w:ascii="Times New Roman" w:hAnsi="Times New Roman" w:eastAsia="Times New Roman" w:cs="Times New Roman"/>
        <w:color w:val="000000"/>
        <w:sz w:val="28"/>
        <w:szCs w:val="28"/>
      </w:rPr>
    </w:r>
    <w:r>
      <w:rPr>
        <w:rFonts w:ascii="Times New Roman" w:hAnsi="Times New Roman" w:eastAsia="Times New Roman" w:cs="Times New Roman"/>
        <w:color w:val="000000"/>
        <w:sz w:val="28"/>
        <w:szCs w:val="28"/>
      </w:rPr>
    </w:r>
    <w:r>
      <w:rPr>
        <w:rFonts w:ascii="Times New Roman" w:hAnsi="Times New Roman" w:eastAsia="Times New Roman" w:cs="Times New Roman"/>
        <w:color w:val="000000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multiLevelType w:val="hybridMultilevel"/>
    <w:lvl w:ilvl="0">
      <w:start w:val="1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multiLevelType w:val="hybridMultilevel"/>
    <w:lvl w:ilvl="0">
      <w:start w:val="13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multiLevelType w:val="hybridMultilevel"/>
    <w:lvl w:ilvl="0">
      <w:start w:val="1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multiLevelType w:val="hybridMultilevel"/>
    <w:lvl w:ilvl="0">
      <w:start w:val="5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multiLevelType w:val="hybridMultilevel"/>
    <w:lvl w:ilvl="0">
      <w:start w:val="3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5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multiLevelType w:val="hybridMultilevel"/>
    <w:lvl w:ilvl="0">
      <w:start w:val="6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multiLevelType w:val="hybridMultilevel"/>
    <w:lvl w:ilvl="0">
      <w:start w:val="3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multiLevelType w:val="hybridMultilevel"/>
    <w:lvl w:ilvl="0">
      <w:start w:val="5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multiLevelType w:val="hybridMultilevel"/>
    <w:lvl w:ilvl="0">
      <w:start w:val="9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multiLevelType w:val="hybridMultilevel"/>
    <w:lvl w:ilvl="0">
      <w:start w:val="7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8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5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multiLevelType w:val="hybridMultilevel"/>
    <w:lvl w:ilvl="0">
      <w:start w:val="3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5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multiLevelType w:val="hybridMultilevel"/>
    <w:lvl w:ilvl="0">
      <w:start w:val="5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multiLevelType w:val="hybridMultilevel"/>
    <w:lvl w:ilvl="0">
      <w:start w:val="10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multiLevelType w:val="hybridMultilevel"/>
    <w:lvl w:ilvl="0">
      <w:start w:val="9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multiLevelType w:val="hybridMultilevel"/>
    <w:lvl w:ilvl="0">
      <w:start w:val="7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multiLevelType w:val="hybridMultilevel"/>
    <w:lvl w:ilvl="0">
      <w:start w:val="6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multiLevelType w:val="hybridMultilevel"/>
    <w:lvl w:ilvl="0">
      <w:start w:val="1"/>
      <w:numFmt w:val="russianLower"/>
      <w:isLgl w:val="false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2"/>
      <w:numFmt w:val="none"/>
      <w:isLgl w:val="false"/>
      <w:suff w:val="space"/>
      <w:lvlText w:val="%2"/>
      <w:lvlJc w:val="left"/>
      <w:pPr>
        <w:ind w:left="0" w:firstLine="709"/>
      </w:pPr>
      <w:rPr>
        <w:rFonts w:hint="default"/>
      </w:rPr>
    </w:lvl>
    <w:lvl w:ilvl="2">
      <w:start w:val="5"/>
      <w:numFmt w:val="upperRoman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multiLevelType w:val="hybridMultilevel"/>
    <w:lvl w:ilvl="0">
      <w:start w:val="13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multiLevelType w:val="hybridMultilevel"/>
    <w:lvl w:ilvl="0">
      <w:start w:val="9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multiLevelType w:val="hybridMultilevel"/>
    <w:lvl w:ilvl="0">
      <w:start w:val="1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multiLevelType w:val="hybridMultilevel"/>
    <w:lvl w:ilvl="0">
      <w:start w:val="8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multiLevelType w:val="hybridMultilevel"/>
    <w:lvl w:ilvl="0">
      <w:start w:val="1"/>
      <w:numFmt w:val="russianLower"/>
      <w:isLgl w:val="false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2"/>
      <w:numFmt w:val="none"/>
      <w:isLgl w:val="false"/>
      <w:suff w:val="space"/>
      <w:lvlText w:val="%2"/>
      <w:lvlJc w:val="left"/>
      <w:pPr>
        <w:ind w:left="0" w:firstLine="709"/>
      </w:pPr>
      <w:rPr>
        <w:rFonts w:hint="default"/>
      </w:rPr>
    </w:lvl>
    <w:lvl w:ilvl="2">
      <w:start w:val="5"/>
      <w:numFmt w:val="upperRoman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multiLevelType w:val="hybridMultilevel"/>
    <w:lvl w:ilvl="0">
      <w:start w:val="7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0"/>
  </w:num>
  <w:num w:numId="2">
    <w:abstractNumId w:val="23"/>
  </w:num>
  <w:num w:numId="3">
    <w:abstractNumId w:val="25"/>
  </w:num>
  <w:num w:numId="4">
    <w:abstractNumId w:val="17"/>
  </w:num>
  <w:num w:numId="5">
    <w:abstractNumId w:val="14"/>
  </w:num>
  <w:num w:numId="6">
    <w:abstractNumId w:val="12"/>
  </w:num>
  <w:num w:numId="7">
    <w:abstractNumId w:val="6"/>
  </w:num>
  <w:num w:numId="8">
    <w:abstractNumId w:val="30"/>
  </w:num>
  <w:num w:numId="9">
    <w:abstractNumId w:val="0"/>
  </w:num>
  <w:num w:numId="10">
    <w:abstractNumId w:val="16"/>
  </w:num>
  <w:num w:numId="11">
    <w:abstractNumId w:val="8"/>
  </w:num>
  <w:num w:numId="12">
    <w:abstractNumId w:val="15"/>
  </w:num>
  <w:num w:numId="13">
    <w:abstractNumId w:val="5"/>
  </w:num>
  <w:num w:numId="14">
    <w:abstractNumId w:val="4"/>
  </w:num>
  <w:num w:numId="15">
    <w:abstractNumId w:val="9"/>
  </w:num>
  <w:num w:numId="16">
    <w:abstractNumId w:val="13"/>
  </w:num>
  <w:num w:numId="17">
    <w:abstractNumId w:val="7"/>
  </w:num>
  <w:num w:numId="18">
    <w:abstractNumId w:val="22"/>
  </w:num>
  <w:num w:numId="19">
    <w:abstractNumId w:val="31"/>
  </w:num>
  <w:num w:numId="20">
    <w:abstractNumId w:val="24"/>
  </w:num>
  <w:num w:numId="21">
    <w:abstractNumId w:val="27"/>
  </w:num>
  <w:num w:numId="22">
    <w:abstractNumId w:val="21"/>
  </w:num>
  <w:num w:numId="23">
    <w:abstractNumId w:val="29"/>
  </w:num>
  <w:num w:numId="24">
    <w:abstractNumId w:val="1"/>
  </w:num>
  <w:num w:numId="25">
    <w:abstractNumId w:val="28"/>
  </w:num>
  <w:num w:numId="26">
    <w:abstractNumId w:val="19"/>
  </w:num>
  <w:num w:numId="27">
    <w:abstractNumId w:val="26"/>
  </w:num>
  <w:num w:numId="28">
    <w:abstractNumId w:val="2"/>
  </w:num>
  <w:num w:numId="29">
    <w:abstractNumId w:val="18"/>
  </w:num>
  <w:num w:numId="30">
    <w:abstractNumId w:val="11"/>
  </w:num>
  <w:num w:numId="31">
    <w:abstractNumId w:val="10"/>
  </w:num>
  <w:num w:numId="32">
    <w:abstractNumId w:val="3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" w:hAnsi="Times" w:eastAsia="Times" w:cs="Times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9" w:default="1">
    <w:name w:val="Normal"/>
  </w:style>
  <w:style w:type="paragraph" w:styleId="770">
    <w:name w:val="Heading 1"/>
    <w:basedOn w:val="769"/>
    <w:next w:val="769"/>
    <w:link w:val="79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771">
    <w:name w:val="Heading 2"/>
    <w:basedOn w:val="769"/>
    <w:next w:val="769"/>
    <w:link w:val="79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772">
    <w:name w:val="Heading 3"/>
    <w:basedOn w:val="769"/>
    <w:next w:val="769"/>
    <w:link w:val="80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773">
    <w:name w:val="Heading 4"/>
    <w:basedOn w:val="769"/>
    <w:next w:val="769"/>
    <w:link w:val="8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774">
    <w:name w:val="Heading 5"/>
    <w:basedOn w:val="769"/>
    <w:next w:val="769"/>
    <w:link w:val="80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75">
    <w:name w:val="Heading 6"/>
    <w:basedOn w:val="769"/>
    <w:next w:val="769"/>
    <w:link w:val="803"/>
    <w:pPr>
      <w:keepNext/>
      <w:keepLines/>
      <w:spacing w:before="200" w:after="40"/>
      <w:outlineLvl w:val="5"/>
    </w:pPr>
    <w:rPr>
      <w:b/>
    </w:rPr>
  </w:style>
  <w:style w:type="paragraph" w:styleId="776">
    <w:name w:val="Heading 7"/>
    <w:basedOn w:val="769"/>
    <w:next w:val="769"/>
    <w:link w:val="804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7">
    <w:name w:val="Heading 8"/>
    <w:basedOn w:val="769"/>
    <w:next w:val="769"/>
    <w:link w:val="805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8">
    <w:name w:val="Heading 9"/>
    <w:basedOn w:val="769"/>
    <w:next w:val="769"/>
    <w:link w:val="806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9" w:default="1">
    <w:name w:val="Default Paragraph Font"/>
    <w:uiPriority w:val="1"/>
    <w:unhideWhenUsed/>
  </w:style>
  <w:style w:type="table" w:styleId="7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1" w:default="1">
    <w:name w:val="No List"/>
    <w:uiPriority w:val="99"/>
    <w:semiHidden/>
    <w:unhideWhenUsed/>
  </w:style>
  <w:style w:type="character" w:styleId="782" w:customStyle="1">
    <w:name w:val="Heading 1 Char"/>
    <w:basedOn w:val="779"/>
    <w:uiPriority w:val="9"/>
    <w:rPr>
      <w:rFonts w:ascii="Arial" w:hAnsi="Arial" w:eastAsia="Arial" w:cs="Arial"/>
      <w:sz w:val="40"/>
      <w:szCs w:val="40"/>
    </w:rPr>
  </w:style>
  <w:style w:type="character" w:styleId="783" w:customStyle="1">
    <w:name w:val="Heading 2 Char"/>
    <w:basedOn w:val="779"/>
    <w:uiPriority w:val="9"/>
    <w:rPr>
      <w:rFonts w:ascii="Arial" w:hAnsi="Arial" w:eastAsia="Arial" w:cs="Arial"/>
      <w:sz w:val="34"/>
    </w:rPr>
  </w:style>
  <w:style w:type="character" w:styleId="784" w:customStyle="1">
    <w:name w:val="Heading 3 Char"/>
    <w:basedOn w:val="779"/>
    <w:uiPriority w:val="9"/>
    <w:rPr>
      <w:rFonts w:ascii="Arial" w:hAnsi="Arial" w:eastAsia="Arial" w:cs="Arial"/>
      <w:sz w:val="30"/>
      <w:szCs w:val="30"/>
    </w:rPr>
  </w:style>
  <w:style w:type="character" w:styleId="785" w:customStyle="1">
    <w:name w:val="Heading 4 Char"/>
    <w:basedOn w:val="779"/>
    <w:uiPriority w:val="9"/>
    <w:rPr>
      <w:rFonts w:ascii="Arial" w:hAnsi="Arial" w:eastAsia="Arial" w:cs="Arial"/>
      <w:b/>
      <w:bCs/>
      <w:sz w:val="26"/>
      <w:szCs w:val="26"/>
    </w:rPr>
  </w:style>
  <w:style w:type="character" w:styleId="786" w:customStyle="1">
    <w:name w:val="Heading 5 Char"/>
    <w:basedOn w:val="779"/>
    <w:uiPriority w:val="9"/>
    <w:rPr>
      <w:rFonts w:ascii="Arial" w:hAnsi="Arial" w:eastAsia="Arial" w:cs="Arial"/>
      <w:b/>
      <w:bCs/>
      <w:sz w:val="24"/>
      <w:szCs w:val="24"/>
    </w:rPr>
  </w:style>
  <w:style w:type="character" w:styleId="787" w:customStyle="1">
    <w:name w:val="Heading 6 Char"/>
    <w:basedOn w:val="779"/>
    <w:uiPriority w:val="9"/>
    <w:rPr>
      <w:rFonts w:ascii="Arial" w:hAnsi="Arial" w:eastAsia="Arial" w:cs="Arial"/>
      <w:b/>
      <w:bCs/>
      <w:sz w:val="22"/>
      <w:szCs w:val="22"/>
    </w:rPr>
  </w:style>
  <w:style w:type="character" w:styleId="788" w:customStyle="1">
    <w:name w:val="Heading 7 Char"/>
    <w:basedOn w:val="7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9" w:customStyle="1">
    <w:name w:val="Heading 8 Char"/>
    <w:basedOn w:val="779"/>
    <w:uiPriority w:val="9"/>
    <w:rPr>
      <w:rFonts w:ascii="Arial" w:hAnsi="Arial" w:eastAsia="Arial" w:cs="Arial"/>
      <w:i/>
      <w:iCs/>
      <w:sz w:val="22"/>
      <w:szCs w:val="22"/>
    </w:rPr>
  </w:style>
  <w:style w:type="character" w:styleId="790" w:customStyle="1">
    <w:name w:val="Heading 9 Char"/>
    <w:basedOn w:val="779"/>
    <w:uiPriority w:val="9"/>
    <w:rPr>
      <w:rFonts w:ascii="Arial" w:hAnsi="Arial" w:eastAsia="Arial" w:cs="Arial"/>
      <w:i/>
      <w:iCs/>
      <w:sz w:val="21"/>
      <w:szCs w:val="21"/>
    </w:rPr>
  </w:style>
  <w:style w:type="character" w:styleId="791" w:customStyle="1">
    <w:name w:val="Title Char"/>
    <w:basedOn w:val="779"/>
    <w:uiPriority w:val="10"/>
    <w:rPr>
      <w:sz w:val="48"/>
      <w:szCs w:val="48"/>
    </w:rPr>
  </w:style>
  <w:style w:type="character" w:styleId="792" w:customStyle="1">
    <w:name w:val="Subtitle Char"/>
    <w:basedOn w:val="779"/>
    <w:uiPriority w:val="11"/>
    <w:rPr>
      <w:sz w:val="24"/>
      <w:szCs w:val="24"/>
    </w:rPr>
  </w:style>
  <w:style w:type="character" w:styleId="793" w:customStyle="1">
    <w:name w:val="Quote Char"/>
    <w:uiPriority w:val="29"/>
    <w:rPr>
      <w:i/>
    </w:rPr>
  </w:style>
  <w:style w:type="character" w:styleId="794" w:customStyle="1">
    <w:name w:val="Intense Quote Char"/>
    <w:uiPriority w:val="30"/>
    <w:rPr>
      <w:i/>
    </w:rPr>
  </w:style>
  <w:style w:type="character" w:styleId="795" w:customStyle="1">
    <w:name w:val="Caption Char"/>
    <w:basedOn w:val="779"/>
    <w:uiPriority w:val="35"/>
    <w:rPr>
      <w:b/>
      <w:bCs/>
      <w:color w:val="4f81bd" w:themeColor="accent1"/>
      <w:sz w:val="18"/>
      <w:szCs w:val="18"/>
    </w:rPr>
  </w:style>
  <w:style w:type="character" w:styleId="796" w:customStyle="1">
    <w:name w:val="Footnote Text Char"/>
    <w:uiPriority w:val="99"/>
    <w:rPr>
      <w:sz w:val="18"/>
    </w:rPr>
  </w:style>
  <w:style w:type="character" w:styleId="797" w:customStyle="1">
    <w:name w:val="Endnote Text Char"/>
    <w:uiPriority w:val="99"/>
    <w:rPr>
      <w:sz w:val="20"/>
    </w:rPr>
  </w:style>
  <w:style w:type="character" w:styleId="798" w:customStyle="1">
    <w:name w:val="Заголовок 1 Знак"/>
    <w:basedOn w:val="779"/>
    <w:link w:val="770"/>
    <w:uiPriority w:val="9"/>
    <w:rPr>
      <w:rFonts w:ascii="Arial" w:hAnsi="Arial" w:eastAsia="Arial" w:cs="Arial"/>
      <w:sz w:val="40"/>
      <w:szCs w:val="40"/>
    </w:rPr>
  </w:style>
  <w:style w:type="character" w:styleId="799" w:customStyle="1">
    <w:name w:val="Заголовок 2 Знак"/>
    <w:basedOn w:val="779"/>
    <w:link w:val="771"/>
    <w:uiPriority w:val="9"/>
    <w:rPr>
      <w:rFonts w:ascii="Arial" w:hAnsi="Arial" w:eastAsia="Arial" w:cs="Arial"/>
      <w:sz w:val="34"/>
    </w:rPr>
  </w:style>
  <w:style w:type="character" w:styleId="800" w:customStyle="1">
    <w:name w:val="Заголовок 3 Знак"/>
    <w:basedOn w:val="779"/>
    <w:link w:val="772"/>
    <w:uiPriority w:val="9"/>
    <w:rPr>
      <w:rFonts w:ascii="Arial" w:hAnsi="Arial" w:eastAsia="Arial" w:cs="Arial"/>
      <w:sz w:val="30"/>
      <w:szCs w:val="30"/>
    </w:rPr>
  </w:style>
  <w:style w:type="character" w:styleId="801" w:customStyle="1">
    <w:name w:val="Заголовок 4 Знак"/>
    <w:basedOn w:val="779"/>
    <w:link w:val="773"/>
    <w:uiPriority w:val="9"/>
    <w:rPr>
      <w:rFonts w:ascii="Arial" w:hAnsi="Arial" w:eastAsia="Arial" w:cs="Arial"/>
      <w:b/>
      <w:bCs/>
      <w:sz w:val="26"/>
      <w:szCs w:val="26"/>
    </w:rPr>
  </w:style>
  <w:style w:type="character" w:styleId="802" w:customStyle="1">
    <w:name w:val="Заголовок 5 Знак"/>
    <w:basedOn w:val="779"/>
    <w:link w:val="774"/>
    <w:uiPriority w:val="9"/>
    <w:rPr>
      <w:rFonts w:ascii="Arial" w:hAnsi="Arial" w:eastAsia="Arial" w:cs="Arial"/>
      <w:b/>
      <w:bCs/>
      <w:sz w:val="24"/>
      <w:szCs w:val="24"/>
    </w:rPr>
  </w:style>
  <w:style w:type="character" w:styleId="803" w:customStyle="1">
    <w:name w:val="Заголовок 6 Знак"/>
    <w:basedOn w:val="779"/>
    <w:link w:val="775"/>
    <w:uiPriority w:val="9"/>
    <w:rPr>
      <w:rFonts w:ascii="Arial" w:hAnsi="Arial" w:eastAsia="Arial" w:cs="Arial"/>
      <w:b/>
      <w:bCs/>
      <w:sz w:val="22"/>
      <w:szCs w:val="22"/>
    </w:rPr>
  </w:style>
  <w:style w:type="character" w:styleId="804" w:customStyle="1">
    <w:name w:val="Заголовок 7 Знак"/>
    <w:basedOn w:val="779"/>
    <w:link w:val="7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5" w:customStyle="1">
    <w:name w:val="Заголовок 8 Знак"/>
    <w:basedOn w:val="779"/>
    <w:link w:val="777"/>
    <w:uiPriority w:val="9"/>
    <w:rPr>
      <w:rFonts w:ascii="Arial" w:hAnsi="Arial" w:eastAsia="Arial" w:cs="Arial"/>
      <w:i/>
      <w:iCs/>
      <w:sz w:val="22"/>
      <w:szCs w:val="22"/>
    </w:rPr>
  </w:style>
  <w:style w:type="character" w:styleId="806" w:customStyle="1">
    <w:name w:val="Заголовок 9 Знак"/>
    <w:basedOn w:val="779"/>
    <w:link w:val="778"/>
    <w:uiPriority w:val="9"/>
    <w:rPr>
      <w:rFonts w:ascii="Arial" w:hAnsi="Arial" w:eastAsia="Arial" w:cs="Arial"/>
      <w:i/>
      <w:iCs/>
      <w:sz w:val="21"/>
      <w:szCs w:val="21"/>
    </w:rPr>
  </w:style>
  <w:style w:type="paragraph" w:styleId="807">
    <w:name w:val="No Spacing"/>
    <w:uiPriority w:val="1"/>
    <w:qFormat/>
  </w:style>
  <w:style w:type="character" w:styleId="808" w:customStyle="1">
    <w:name w:val="Заголовок Знак"/>
    <w:basedOn w:val="779"/>
    <w:link w:val="962"/>
    <w:uiPriority w:val="10"/>
    <w:rPr>
      <w:sz w:val="48"/>
      <w:szCs w:val="48"/>
    </w:rPr>
  </w:style>
  <w:style w:type="character" w:styleId="809" w:customStyle="1">
    <w:name w:val="Подзаголовок Знак"/>
    <w:basedOn w:val="779"/>
    <w:link w:val="963"/>
    <w:uiPriority w:val="11"/>
    <w:rPr>
      <w:sz w:val="24"/>
      <w:szCs w:val="24"/>
    </w:rPr>
  </w:style>
  <w:style w:type="paragraph" w:styleId="810">
    <w:name w:val="Quote"/>
    <w:basedOn w:val="769"/>
    <w:next w:val="769"/>
    <w:link w:val="811"/>
    <w:uiPriority w:val="29"/>
    <w:qFormat/>
    <w:pPr>
      <w:ind w:left="720" w:right="720"/>
    </w:pPr>
    <w:rPr>
      <w:i/>
    </w:rPr>
  </w:style>
  <w:style w:type="character" w:styleId="811" w:customStyle="1">
    <w:name w:val="Цитата 2 Знак"/>
    <w:link w:val="810"/>
    <w:uiPriority w:val="29"/>
    <w:rPr>
      <w:i/>
    </w:rPr>
  </w:style>
  <w:style w:type="paragraph" w:styleId="812">
    <w:name w:val="Intense Quote"/>
    <w:basedOn w:val="769"/>
    <w:next w:val="769"/>
    <w:link w:val="81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813" w:customStyle="1">
    <w:name w:val="Выделенная цитата Знак"/>
    <w:link w:val="812"/>
    <w:uiPriority w:val="30"/>
    <w:rPr>
      <w:i/>
    </w:rPr>
  </w:style>
  <w:style w:type="character" w:styleId="814" w:customStyle="1">
    <w:name w:val="Header Char"/>
    <w:basedOn w:val="779"/>
    <w:uiPriority w:val="99"/>
  </w:style>
  <w:style w:type="character" w:styleId="815" w:customStyle="1">
    <w:name w:val="Footer Char"/>
    <w:basedOn w:val="779"/>
    <w:uiPriority w:val="99"/>
  </w:style>
  <w:style w:type="paragraph" w:styleId="816">
    <w:name w:val="Caption"/>
    <w:basedOn w:val="769"/>
    <w:next w:val="769"/>
    <w:link w:val="8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7" w:customStyle="1">
    <w:name w:val="Название объекта Знак"/>
    <w:basedOn w:val="779"/>
    <w:link w:val="816"/>
    <w:uiPriority w:val="35"/>
    <w:rPr>
      <w:b/>
      <w:bCs/>
      <w:color w:val="4f81bd" w:themeColor="accent1"/>
      <w:sz w:val="18"/>
      <w:szCs w:val="18"/>
    </w:rPr>
  </w:style>
  <w:style w:type="table" w:styleId="818">
    <w:name w:val="Table Grid"/>
    <w:basedOn w:val="78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19" w:customStyle="1">
    <w:name w:val="Table Grid Light"/>
    <w:basedOn w:val="7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0">
    <w:name w:val="Plain Table 1"/>
    <w:basedOn w:val="7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1">
    <w:name w:val="Plain Table 2"/>
    <w:basedOn w:val="7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2">
    <w:name w:val="Plain Table 3"/>
    <w:basedOn w:val="78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3">
    <w:name w:val="Plain Table 4"/>
    <w:basedOn w:val="78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Plain Table 5"/>
    <w:basedOn w:val="78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25">
    <w:name w:val="Grid Table 1 Light"/>
    <w:basedOn w:val="7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1 Light - Accent 1"/>
    <w:basedOn w:val="78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2"/>
    <w:basedOn w:val="78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1 Light - Accent 3"/>
    <w:basedOn w:val="78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Grid Table 1 Light - Accent 4"/>
    <w:basedOn w:val="78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5"/>
    <w:basedOn w:val="78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6"/>
    <w:basedOn w:val="78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Grid Table 2"/>
    <w:basedOn w:val="7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3" w:customStyle="1">
    <w:name w:val="Grid Table 2 - Accent 1"/>
    <w:basedOn w:val="78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4" w:customStyle="1">
    <w:name w:val="Grid Table 2 - Accent 2"/>
    <w:basedOn w:val="78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5" w:customStyle="1">
    <w:name w:val="Grid Table 2 - Accent 3"/>
    <w:basedOn w:val="78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6" w:customStyle="1">
    <w:name w:val="Grid Table 2 - Accent 4"/>
    <w:basedOn w:val="78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7" w:customStyle="1">
    <w:name w:val="Grid Table 2 - Accent 5"/>
    <w:basedOn w:val="78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8" w:customStyle="1">
    <w:name w:val="Grid Table 2 - Accent 6"/>
    <w:basedOn w:val="78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9">
    <w:name w:val="Grid Table 3"/>
    <w:basedOn w:val="7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0" w:customStyle="1">
    <w:name w:val="Grid Table 3 - Accent 1"/>
    <w:basedOn w:val="78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1" w:customStyle="1">
    <w:name w:val="Grid Table 3 - Accent 2"/>
    <w:basedOn w:val="78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2" w:customStyle="1">
    <w:name w:val="Grid Table 3 - Accent 3"/>
    <w:basedOn w:val="78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3" w:customStyle="1">
    <w:name w:val="Grid Table 3 - Accent 4"/>
    <w:basedOn w:val="78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4" w:customStyle="1">
    <w:name w:val="Grid Table 3 - Accent 5"/>
    <w:basedOn w:val="78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5" w:customStyle="1">
    <w:name w:val="Grid Table 3 - Accent 6"/>
    <w:basedOn w:val="78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6">
    <w:name w:val="Grid Table 4"/>
    <w:basedOn w:val="7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7" w:customStyle="1">
    <w:name w:val="Grid Table 4 - Accent 1"/>
    <w:basedOn w:val="78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8" w:customStyle="1">
    <w:name w:val="Grid Table 4 - Accent 2"/>
    <w:basedOn w:val="78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49" w:customStyle="1">
    <w:name w:val="Grid Table 4 - Accent 3"/>
    <w:basedOn w:val="78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50" w:customStyle="1">
    <w:name w:val="Grid Table 4 - Accent 4"/>
    <w:basedOn w:val="78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51" w:customStyle="1">
    <w:name w:val="Grid Table 4 - Accent 5"/>
    <w:basedOn w:val="78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52" w:customStyle="1">
    <w:name w:val="Grid Table 4 - Accent 6"/>
    <w:basedOn w:val="78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53">
    <w:name w:val="Grid Table 5 Dark"/>
    <w:basedOn w:val="7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854" w:customStyle="1">
    <w:name w:val="Grid Table 5 Dark- Accent 1"/>
    <w:basedOn w:val="7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855" w:customStyle="1">
    <w:name w:val="Grid Table 5 Dark - Accent 2"/>
    <w:basedOn w:val="7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856" w:customStyle="1">
    <w:name w:val="Grid Table 5 Dark - Accent 3"/>
    <w:basedOn w:val="7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857" w:customStyle="1">
    <w:name w:val="Grid Table 5 Dark- Accent 4"/>
    <w:basedOn w:val="7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858" w:customStyle="1">
    <w:name w:val="Grid Table 5 Dark - Accent 5"/>
    <w:basedOn w:val="7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859" w:customStyle="1">
    <w:name w:val="Grid Table 5 Dark - Accent 6"/>
    <w:basedOn w:val="7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860">
    <w:name w:val="Grid Table 6 Colorful"/>
    <w:basedOn w:val="7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1" w:customStyle="1">
    <w:name w:val="Grid Table 6 Colorful - Accent 1"/>
    <w:basedOn w:val="78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62" w:customStyle="1">
    <w:name w:val="Grid Table 6 Colorful - Accent 2"/>
    <w:basedOn w:val="78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63" w:customStyle="1">
    <w:name w:val="Grid Table 6 Colorful - Accent 3"/>
    <w:basedOn w:val="78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64" w:customStyle="1">
    <w:name w:val="Grid Table 6 Colorful - Accent 4"/>
    <w:basedOn w:val="78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5" w:customStyle="1">
    <w:name w:val="Grid Table 6 Colorful - Accent 5"/>
    <w:basedOn w:val="78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6" w:customStyle="1">
    <w:name w:val="Grid Table 6 Colorful - Accent 6"/>
    <w:basedOn w:val="78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7">
    <w:name w:val="Grid Table 7 Colorful"/>
    <w:basedOn w:val="7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68" w:customStyle="1">
    <w:name w:val="Grid Table 7 Colorful - Accent 1"/>
    <w:basedOn w:val="78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69" w:customStyle="1">
    <w:name w:val="Grid Table 7 Colorful - Accent 2"/>
    <w:basedOn w:val="78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70" w:customStyle="1">
    <w:name w:val="Grid Table 7 Colorful - Accent 3"/>
    <w:basedOn w:val="78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71" w:customStyle="1">
    <w:name w:val="Grid Table 7 Colorful - Accent 4"/>
    <w:basedOn w:val="78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72" w:customStyle="1">
    <w:name w:val="Grid Table 7 Colorful - Accent 5"/>
    <w:basedOn w:val="78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73" w:customStyle="1">
    <w:name w:val="Grid Table 7 Colorful - Accent 6"/>
    <w:basedOn w:val="78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74">
    <w:name w:val="List Table 1 Light"/>
    <w:basedOn w:val="78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1"/>
    <w:basedOn w:val="780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2"/>
    <w:basedOn w:val="780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 - Accent 3"/>
    <w:basedOn w:val="780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4"/>
    <w:basedOn w:val="780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5"/>
    <w:basedOn w:val="780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6"/>
    <w:basedOn w:val="780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2"/>
    <w:basedOn w:val="7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2" w:customStyle="1">
    <w:name w:val="List Table 2 - Accent 1"/>
    <w:basedOn w:val="78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83" w:customStyle="1">
    <w:name w:val="List Table 2 - Accent 2"/>
    <w:basedOn w:val="78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84" w:customStyle="1">
    <w:name w:val="List Table 2 - Accent 3"/>
    <w:basedOn w:val="78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85" w:customStyle="1">
    <w:name w:val="List Table 2 - Accent 4"/>
    <w:basedOn w:val="78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5"/>
    <w:basedOn w:val="78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6"/>
    <w:basedOn w:val="78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8">
    <w:name w:val="List Table 3"/>
    <w:basedOn w:val="7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3 - Accent 1"/>
    <w:basedOn w:val="78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2"/>
    <w:basedOn w:val="78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3 - Accent 3"/>
    <w:basedOn w:val="78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3 - Accent 4"/>
    <w:basedOn w:val="78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5"/>
    <w:basedOn w:val="78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6"/>
    <w:basedOn w:val="78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4"/>
    <w:basedOn w:val="7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4 - Accent 1"/>
    <w:basedOn w:val="78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2"/>
    <w:basedOn w:val="78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4 - Accent 3"/>
    <w:basedOn w:val="78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4 - Accent 4"/>
    <w:basedOn w:val="78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5"/>
    <w:basedOn w:val="78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6"/>
    <w:basedOn w:val="78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5 Dark"/>
    <w:basedOn w:val="7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3" w:customStyle="1">
    <w:name w:val="List Table 5 Dark - Accent 1"/>
    <w:basedOn w:val="78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4" w:customStyle="1">
    <w:name w:val="List Table 5 Dark - Accent 2"/>
    <w:basedOn w:val="78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5" w:customStyle="1">
    <w:name w:val="List Table 5 Dark - Accent 3"/>
    <w:basedOn w:val="78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6" w:customStyle="1">
    <w:name w:val="List Table 5 Dark - Accent 4"/>
    <w:basedOn w:val="78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7" w:customStyle="1">
    <w:name w:val="List Table 5 Dark - Accent 5"/>
    <w:basedOn w:val="78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6"/>
    <w:basedOn w:val="78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>
    <w:name w:val="List Table 6 Colorful"/>
    <w:basedOn w:val="7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0" w:customStyle="1">
    <w:name w:val="List Table 6 Colorful - Accent 1"/>
    <w:basedOn w:val="78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11" w:customStyle="1">
    <w:name w:val="List Table 6 Colorful - Accent 2"/>
    <w:basedOn w:val="78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12" w:customStyle="1">
    <w:name w:val="List Table 6 Colorful - Accent 3"/>
    <w:basedOn w:val="78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13" w:customStyle="1">
    <w:name w:val="List Table 6 Colorful - Accent 4"/>
    <w:basedOn w:val="78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14" w:customStyle="1">
    <w:name w:val="List Table 6 Colorful - Accent 5"/>
    <w:basedOn w:val="78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15" w:customStyle="1">
    <w:name w:val="List Table 6 Colorful - Accent 6"/>
    <w:basedOn w:val="78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6">
    <w:name w:val="List Table 7 Colorful"/>
    <w:basedOn w:val="7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17" w:customStyle="1">
    <w:name w:val="List Table 7 Colorful - Accent 1"/>
    <w:basedOn w:val="78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18" w:customStyle="1">
    <w:name w:val="List Table 7 Colorful - Accent 2"/>
    <w:basedOn w:val="78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19" w:customStyle="1">
    <w:name w:val="List Table 7 Colorful - Accent 3"/>
    <w:basedOn w:val="78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20" w:customStyle="1">
    <w:name w:val="List Table 7 Colorful - Accent 4"/>
    <w:basedOn w:val="78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21" w:customStyle="1">
    <w:name w:val="List Table 7 Colorful - Accent 5"/>
    <w:basedOn w:val="78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22" w:customStyle="1">
    <w:name w:val="List Table 7 Colorful - Accent 6"/>
    <w:basedOn w:val="78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923" w:customStyle="1">
    <w:name w:val="Lined - Accent"/>
    <w:basedOn w:val="78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4" w:customStyle="1">
    <w:name w:val="Lined - Accent 1"/>
    <w:basedOn w:val="78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5" w:customStyle="1">
    <w:name w:val="Lined - Accent 2"/>
    <w:basedOn w:val="78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6" w:customStyle="1">
    <w:name w:val="Lined - Accent 3"/>
    <w:basedOn w:val="78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7" w:customStyle="1">
    <w:name w:val="Lined - Accent 4"/>
    <w:basedOn w:val="78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8" w:customStyle="1">
    <w:name w:val="Lined - Accent 5"/>
    <w:basedOn w:val="78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9" w:customStyle="1">
    <w:name w:val="Lined - Accent 6"/>
    <w:basedOn w:val="78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0" w:customStyle="1">
    <w:name w:val="Bordered &amp; Lined - Accent"/>
    <w:basedOn w:val="78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1" w:customStyle="1">
    <w:name w:val="Bordered &amp; Lined - Accent 1"/>
    <w:basedOn w:val="780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2" w:customStyle="1">
    <w:name w:val="Bordered &amp; Lined - Accent 2"/>
    <w:basedOn w:val="780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3" w:customStyle="1">
    <w:name w:val="Bordered &amp; Lined - Accent 3"/>
    <w:basedOn w:val="780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4" w:customStyle="1">
    <w:name w:val="Bordered &amp; Lined - Accent 4"/>
    <w:basedOn w:val="780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5" w:customStyle="1">
    <w:name w:val="Bordered &amp; Lined - Accent 5"/>
    <w:basedOn w:val="780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6" w:customStyle="1">
    <w:name w:val="Bordered &amp; Lined - Accent 6"/>
    <w:basedOn w:val="780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7" w:customStyle="1">
    <w:name w:val="Bordered"/>
    <w:basedOn w:val="78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8" w:customStyle="1">
    <w:name w:val="Bordered - Accent 1"/>
    <w:basedOn w:val="78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9" w:customStyle="1">
    <w:name w:val="Bordered - Accent 2"/>
    <w:basedOn w:val="78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40" w:customStyle="1">
    <w:name w:val="Bordered - Accent 3"/>
    <w:basedOn w:val="78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41" w:customStyle="1">
    <w:name w:val="Bordered - Accent 4"/>
    <w:basedOn w:val="78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42" w:customStyle="1">
    <w:name w:val="Bordered - Accent 5"/>
    <w:basedOn w:val="78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43" w:customStyle="1">
    <w:name w:val="Bordered - Accent 6"/>
    <w:basedOn w:val="78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44">
    <w:name w:val="footnote text"/>
    <w:basedOn w:val="769"/>
    <w:link w:val="945"/>
    <w:uiPriority w:val="99"/>
    <w:semiHidden/>
    <w:unhideWhenUsed/>
    <w:pPr>
      <w:spacing w:after="40"/>
    </w:pPr>
    <w:rPr>
      <w:sz w:val="18"/>
    </w:rPr>
  </w:style>
  <w:style w:type="character" w:styleId="945" w:customStyle="1">
    <w:name w:val="Текст сноски Знак"/>
    <w:link w:val="944"/>
    <w:uiPriority w:val="99"/>
    <w:rPr>
      <w:sz w:val="18"/>
    </w:rPr>
  </w:style>
  <w:style w:type="character" w:styleId="946">
    <w:name w:val="footnote reference"/>
    <w:basedOn w:val="779"/>
    <w:uiPriority w:val="99"/>
    <w:unhideWhenUsed/>
    <w:rPr>
      <w:vertAlign w:val="superscript"/>
    </w:rPr>
  </w:style>
  <w:style w:type="paragraph" w:styleId="947">
    <w:name w:val="endnote text"/>
    <w:basedOn w:val="769"/>
    <w:link w:val="948"/>
    <w:uiPriority w:val="99"/>
    <w:semiHidden/>
    <w:unhideWhenUsed/>
  </w:style>
  <w:style w:type="character" w:styleId="948" w:customStyle="1">
    <w:name w:val="Текст концевой сноски Знак"/>
    <w:link w:val="947"/>
    <w:uiPriority w:val="99"/>
    <w:rPr>
      <w:sz w:val="20"/>
    </w:rPr>
  </w:style>
  <w:style w:type="character" w:styleId="949">
    <w:name w:val="endnote reference"/>
    <w:basedOn w:val="779"/>
    <w:uiPriority w:val="99"/>
    <w:semiHidden/>
    <w:unhideWhenUsed/>
    <w:rPr>
      <w:vertAlign w:val="superscript"/>
    </w:rPr>
  </w:style>
  <w:style w:type="paragraph" w:styleId="950">
    <w:name w:val="toc 1"/>
    <w:basedOn w:val="769"/>
    <w:next w:val="769"/>
    <w:uiPriority w:val="39"/>
    <w:unhideWhenUsed/>
    <w:pPr>
      <w:spacing w:after="57"/>
    </w:pPr>
  </w:style>
  <w:style w:type="paragraph" w:styleId="951">
    <w:name w:val="toc 2"/>
    <w:basedOn w:val="769"/>
    <w:next w:val="769"/>
    <w:uiPriority w:val="39"/>
    <w:unhideWhenUsed/>
    <w:pPr>
      <w:spacing w:after="57"/>
      <w:ind w:left="283"/>
    </w:pPr>
  </w:style>
  <w:style w:type="paragraph" w:styleId="952">
    <w:name w:val="toc 3"/>
    <w:basedOn w:val="769"/>
    <w:next w:val="769"/>
    <w:uiPriority w:val="39"/>
    <w:unhideWhenUsed/>
    <w:pPr>
      <w:spacing w:after="57"/>
      <w:ind w:left="567"/>
    </w:pPr>
  </w:style>
  <w:style w:type="paragraph" w:styleId="953">
    <w:name w:val="toc 4"/>
    <w:basedOn w:val="769"/>
    <w:next w:val="769"/>
    <w:uiPriority w:val="39"/>
    <w:unhideWhenUsed/>
    <w:pPr>
      <w:spacing w:after="57"/>
      <w:ind w:left="850"/>
    </w:pPr>
  </w:style>
  <w:style w:type="paragraph" w:styleId="954">
    <w:name w:val="toc 5"/>
    <w:basedOn w:val="769"/>
    <w:next w:val="769"/>
    <w:uiPriority w:val="39"/>
    <w:unhideWhenUsed/>
    <w:pPr>
      <w:spacing w:after="57"/>
      <w:ind w:left="1134"/>
    </w:pPr>
  </w:style>
  <w:style w:type="paragraph" w:styleId="955">
    <w:name w:val="toc 6"/>
    <w:basedOn w:val="769"/>
    <w:next w:val="769"/>
    <w:uiPriority w:val="39"/>
    <w:unhideWhenUsed/>
    <w:pPr>
      <w:spacing w:after="57"/>
      <w:ind w:left="1417"/>
    </w:pPr>
  </w:style>
  <w:style w:type="paragraph" w:styleId="956">
    <w:name w:val="toc 7"/>
    <w:basedOn w:val="769"/>
    <w:next w:val="769"/>
    <w:uiPriority w:val="39"/>
    <w:unhideWhenUsed/>
    <w:pPr>
      <w:spacing w:after="57"/>
      <w:ind w:left="1701"/>
    </w:pPr>
  </w:style>
  <w:style w:type="paragraph" w:styleId="957">
    <w:name w:val="toc 8"/>
    <w:basedOn w:val="769"/>
    <w:next w:val="769"/>
    <w:uiPriority w:val="39"/>
    <w:unhideWhenUsed/>
    <w:pPr>
      <w:spacing w:after="57"/>
      <w:ind w:left="1984"/>
    </w:pPr>
  </w:style>
  <w:style w:type="paragraph" w:styleId="958">
    <w:name w:val="toc 9"/>
    <w:basedOn w:val="769"/>
    <w:next w:val="769"/>
    <w:uiPriority w:val="39"/>
    <w:unhideWhenUsed/>
    <w:pPr>
      <w:spacing w:after="57"/>
      <w:ind w:left="2268"/>
    </w:pPr>
  </w:style>
  <w:style w:type="paragraph" w:styleId="959">
    <w:name w:val="TOC Heading"/>
    <w:uiPriority w:val="39"/>
    <w:unhideWhenUsed/>
  </w:style>
  <w:style w:type="paragraph" w:styleId="960">
    <w:name w:val="table of figures"/>
    <w:basedOn w:val="769"/>
    <w:next w:val="769"/>
    <w:uiPriority w:val="99"/>
    <w:unhideWhenUsed/>
  </w:style>
  <w:style w:type="table" w:styleId="961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62">
    <w:name w:val="Title"/>
    <w:basedOn w:val="769"/>
    <w:next w:val="769"/>
    <w:link w:val="808"/>
    <w:pPr>
      <w:keepNext/>
      <w:keepLines/>
      <w:spacing w:before="480" w:after="120"/>
    </w:pPr>
    <w:rPr>
      <w:b/>
      <w:sz w:val="72"/>
      <w:szCs w:val="72"/>
    </w:rPr>
  </w:style>
  <w:style w:type="paragraph" w:styleId="963">
    <w:name w:val="Subtitle"/>
    <w:basedOn w:val="769"/>
    <w:next w:val="769"/>
    <w:link w:val="809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964">
    <w:name w:val="List Paragraph"/>
    <w:basedOn w:val="769"/>
    <w:uiPriority w:val="34"/>
    <w:qFormat/>
    <w:pPr>
      <w:spacing w:after="200" w:line="276" w:lineRule="auto"/>
      <w:ind w:left="720"/>
      <w:contextualSpacing/>
    </w:pPr>
    <w:rPr>
      <w:rFonts w:ascii="Calibri" w:hAnsi="Calibri" w:eastAsia="Times New Roman" w:cs="Times New Roman"/>
      <w:sz w:val="22"/>
      <w:szCs w:val="22"/>
    </w:rPr>
  </w:style>
  <w:style w:type="paragraph" w:styleId="965">
    <w:name w:val="Balloon Text"/>
    <w:basedOn w:val="769"/>
    <w:link w:val="96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66" w:customStyle="1">
    <w:name w:val="Текст выноски Знак"/>
    <w:basedOn w:val="779"/>
    <w:link w:val="965"/>
    <w:uiPriority w:val="99"/>
    <w:semiHidden/>
    <w:rPr>
      <w:rFonts w:ascii="Segoe UI" w:hAnsi="Segoe UI" w:cs="Segoe UI"/>
      <w:sz w:val="18"/>
      <w:szCs w:val="18"/>
    </w:rPr>
  </w:style>
  <w:style w:type="paragraph" w:styleId="967">
    <w:name w:val="Header"/>
    <w:basedOn w:val="769"/>
    <w:link w:val="96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68" w:customStyle="1">
    <w:name w:val="Верхний колонтитул Знак"/>
    <w:basedOn w:val="779"/>
    <w:link w:val="967"/>
    <w:uiPriority w:val="99"/>
  </w:style>
  <w:style w:type="paragraph" w:styleId="969">
    <w:name w:val="Footer"/>
    <w:basedOn w:val="769"/>
    <w:link w:val="97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70" w:customStyle="1">
    <w:name w:val="Нижний колонтитул Знак"/>
    <w:basedOn w:val="779"/>
    <w:link w:val="969"/>
    <w:uiPriority w:val="99"/>
  </w:style>
  <w:style w:type="character" w:styleId="971">
    <w:name w:val="annotation reference"/>
    <w:basedOn w:val="779"/>
    <w:uiPriority w:val="99"/>
    <w:semiHidden/>
    <w:unhideWhenUsed/>
    <w:rPr>
      <w:sz w:val="16"/>
      <w:szCs w:val="16"/>
    </w:rPr>
  </w:style>
  <w:style w:type="paragraph" w:styleId="972">
    <w:name w:val="annotation text"/>
    <w:basedOn w:val="769"/>
    <w:link w:val="973"/>
    <w:uiPriority w:val="99"/>
    <w:semiHidden/>
    <w:unhideWhenUsed/>
  </w:style>
  <w:style w:type="character" w:styleId="973" w:customStyle="1">
    <w:name w:val="Текст примечания Знак"/>
    <w:basedOn w:val="779"/>
    <w:link w:val="972"/>
    <w:uiPriority w:val="99"/>
    <w:semiHidden/>
  </w:style>
  <w:style w:type="paragraph" w:styleId="974">
    <w:name w:val="annotation subject"/>
    <w:basedOn w:val="972"/>
    <w:next w:val="972"/>
    <w:link w:val="975"/>
    <w:uiPriority w:val="99"/>
    <w:semiHidden/>
    <w:unhideWhenUsed/>
    <w:rPr>
      <w:b/>
      <w:bCs/>
    </w:rPr>
  </w:style>
  <w:style w:type="character" w:styleId="975" w:customStyle="1">
    <w:name w:val="Тема примечания Знак"/>
    <w:basedOn w:val="973"/>
    <w:link w:val="974"/>
    <w:uiPriority w:val="99"/>
    <w:semiHidden/>
    <w:rPr>
      <w:b/>
      <w:bCs/>
    </w:rPr>
  </w:style>
  <w:style w:type="character" w:styleId="976">
    <w:name w:val="Hyperlink"/>
    <w:basedOn w:val="779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F2BA4-0B6A-4087-9BF4-C5054AB72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Абеев Олег Эльбрусович</dc:creator>
  <cp:lastModifiedBy>darya.shershneva</cp:lastModifiedBy>
  <cp:revision>14</cp:revision>
  <dcterms:created xsi:type="dcterms:W3CDTF">2026-06-01T12:55:00Z</dcterms:created>
  <dcterms:modified xsi:type="dcterms:W3CDTF">2026-09-15T14:11:36Z</dcterms:modified>
</cp:coreProperties>
</file>