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057" w:rsidRDefault="002B5057">
      <w:pPr>
        <w:spacing w:after="0" w:line="360" w:lineRule="auto"/>
        <w:ind w:left="6238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2B5057" w:rsidRDefault="00994B20">
      <w:pPr>
        <w:spacing w:after="0" w:line="360" w:lineRule="auto"/>
        <w:ind w:left="623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2B5057" w:rsidRDefault="002B505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B5057" w:rsidRDefault="00994B2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ФЕДЕРАЛЬНЫЙ ЗАКОН</w:t>
      </w:r>
    </w:p>
    <w:p w:rsidR="002B5057" w:rsidRDefault="002B505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B5057" w:rsidRDefault="00994B2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Градостроительный кодекс </w:t>
      </w:r>
    </w:p>
    <w:p w:rsidR="002B5057" w:rsidRDefault="00994B2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Российской Федерации </w:t>
      </w:r>
    </w:p>
    <w:p w:rsidR="002B5057" w:rsidRDefault="002B5057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2B5057" w:rsidRDefault="00994B2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Градостроительный кодекс Российской Федерации (Собрание законодательства Российской Федерации, 2005, № 1, ст. 16</w:t>
      </w:r>
      <w:r>
        <w:rPr>
          <w:rFonts w:ascii="Times New Roman" w:hAnsi="Times New Roman"/>
          <w:sz w:val="28"/>
          <w:szCs w:val="28"/>
        </w:rPr>
        <w:t>; 2006, № 1, ст. 21; 2008, № 20, ст. 2260; 2011, № 13, ст. 1688; № 30, ст. 4591; № 49 (ч. 1), ст. 7015; 2013, № 30, ст. 4080; 2014, № 26, ст. 3387; 2014, № 16, ст. 1837; 2016, N 27, ст. 4301, 4305, 4306; 2018 № 32, ст. 5114, 5135; 2019, № 51, ст. 7492; № 5</w:t>
      </w:r>
      <w:r>
        <w:rPr>
          <w:rFonts w:ascii="Times New Roman" w:hAnsi="Times New Roman"/>
          <w:sz w:val="28"/>
          <w:szCs w:val="28"/>
        </w:rPr>
        <w:t>2, ст. 7790; 2020, № 29, ст. 4504; 2021, № 27, ст. 5103, 5104; 2021, № 50, ст. 8415; 2022, № 1, ст. 16; № 18, ст. 3010; № 29, ст. 5317, № 52, ст. 9371; 2023, № 32, ст. 6167, 6170, 6180; № 43, ст. 7602, № 52, ст. 9526; 2024, № 1, ст. 8, № 33 , ст. 4928, 495</w:t>
      </w:r>
      <w:r>
        <w:rPr>
          <w:rFonts w:ascii="Times New Roman" w:hAnsi="Times New Roman"/>
          <w:sz w:val="28"/>
          <w:szCs w:val="28"/>
        </w:rPr>
        <w:t>7, 4976) следующие изменения: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статье 1: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дополнить пунктом 15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"15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) задание застройщика, технического заказчика на подготовку проектной документации (далее также – задание на проектирование) – документ, содержащий основные те</w:t>
      </w:r>
      <w:r>
        <w:rPr>
          <w:rFonts w:ascii="Times New Roman" w:hAnsi="Times New Roman"/>
          <w:sz w:val="28"/>
          <w:szCs w:val="28"/>
        </w:rPr>
        <w:t>хнико-экономические показатели объекта капитального строительства, требования к подготовке проектной документации для обеспечения строительства, реконструкции объектов капитального строительства, их частей, капитального ремонта, проведения работ по сохране</w:t>
      </w:r>
      <w:r>
        <w:rPr>
          <w:rFonts w:ascii="Times New Roman" w:hAnsi="Times New Roman"/>
          <w:sz w:val="28"/>
          <w:szCs w:val="28"/>
        </w:rPr>
        <w:t>нию объектов культурного наследия;";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б) в пункте 16 слова ", подготовку проектной документации для" заменить словами ", подготовку технико-экономического обоснования, проектной документации, рабочей документации для";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пункте 22 слова "о подготовке про</w:t>
      </w:r>
      <w:r>
        <w:rPr>
          <w:rFonts w:ascii="Times New Roman" w:hAnsi="Times New Roman"/>
          <w:sz w:val="28"/>
          <w:szCs w:val="28"/>
        </w:rPr>
        <w:t>ектной документации," заменить словами "о подготовке технико-экономического обоснования, проектной документации, рабочей документации,";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в пункте 30 слова "на этапе архитектурно-строительного проектирования, подготовки" заменить словами "при подготовке </w:t>
      </w:r>
      <w:r>
        <w:rPr>
          <w:rFonts w:ascii="Times New Roman" w:hAnsi="Times New Roman"/>
          <w:sz w:val="28"/>
          <w:szCs w:val="28"/>
        </w:rPr>
        <w:t>проектной документации, подготовке";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пункт 7</w:t>
      </w:r>
      <w:r>
        <w:rPr>
          <w:rFonts w:ascii="Times New Roman" w:hAnsi="Times New Roman"/>
          <w:sz w:val="28"/>
          <w:szCs w:val="28"/>
          <w:vertAlign w:val="superscript"/>
        </w:rPr>
        <w:t>18</w:t>
      </w:r>
      <w:r>
        <w:rPr>
          <w:rFonts w:ascii="Times New Roman" w:hAnsi="Times New Roman"/>
          <w:sz w:val="28"/>
          <w:szCs w:val="28"/>
        </w:rPr>
        <w:t xml:space="preserve"> части 1 статьи 6 признать утратившим силу;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части 4 статьи 40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слова "либо в задании застройщика или технического заказчика на проектирование объекта капитального строительства," заменить словами "либо </w:t>
      </w:r>
      <w:r>
        <w:rPr>
          <w:rFonts w:ascii="Times New Roman" w:hAnsi="Times New Roman"/>
          <w:sz w:val="28"/>
          <w:szCs w:val="28"/>
        </w:rPr>
        <w:t>в задании на проектирование,";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статье 48: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1 после слов "путем подготовки" дополнить словами "технико-экономического обоснования (в случаях, предусмотренных статьей 48.3 настоящего Кодекса),";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) в части 11 слова "застройщика или технического заказчика " заменить словами "на проектирование";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части 11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слова "застройщика или технического заказчика" исключить;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 части 12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слова "застройщика или технического заказчика" исключить;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) часть 12</w:t>
      </w:r>
      <w:r>
        <w:rPr>
          <w:rFonts w:ascii="Times New Roman" w:hAnsi="Times New Roman"/>
          <w:sz w:val="28"/>
          <w:szCs w:val="28"/>
          <w:vertAlign w:val="superscript"/>
        </w:rPr>
        <w:t xml:space="preserve">4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"12</w:t>
      </w:r>
      <w:r>
        <w:rPr>
          <w:rFonts w:ascii="Times New Roman" w:hAnsi="Times New Roman"/>
          <w:sz w:val="28"/>
          <w:szCs w:val="28"/>
          <w:vertAlign w:val="superscript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Для подготовки проектной докум</w:t>
      </w:r>
      <w:r>
        <w:rPr>
          <w:rFonts w:ascii="Times New Roman" w:hAnsi="Times New Roman"/>
          <w:sz w:val="28"/>
          <w:szCs w:val="28"/>
        </w:rPr>
        <w:t>ентации застройщик, технический заказчик, иные лица (в случаях, предусмотренных частями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статьи 48 настоящего Кодекса) утверждают задание на проектирование (при подготовке проектной документации на основании договора подряда на подготовку проектной </w:t>
      </w:r>
      <w:r>
        <w:rPr>
          <w:rFonts w:ascii="Times New Roman" w:hAnsi="Times New Roman"/>
          <w:sz w:val="28"/>
          <w:szCs w:val="28"/>
        </w:rPr>
        <w:t xml:space="preserve">документации). Форма задания на проектирование объекта капитального строительства, строительство, реконструкция, капитальный </w:t>
      </w:r>
      <w:r>
        <w:rPr>
          <w:rFonts w:ascii="Times New Roman" w:hAnsi="Times New Roman"/>
          <w:sz w:val="28"/>
          <w:szCs w:val="28"/>
        </w:rPr>
        <w:lastRenderedPageBreak/>
        <w:t>ремонт которого осуществляются с привлечением средств бюджетов бюджетной системы Российской Федерации, устанавливается уполномоченн</w:t>
      </w:r>
      <w:r>
        <w:rPr>
          <w:rFonts w:ascii="Times New Roman" w:hAnsi="Times New Roman"/>
          <w:sz w:val="28"/>
          <w:szCs w:val="28"/>
        </w:rPr>
        <w:t>ым Правительством Российской Федерации федеральным органом исполнительной власти.";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в пункте 1 части 13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слова "застройщика или технического заказчика" исключить;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в части 15</w:t>
      </w:r>
      <w:r>
        <w:rPr>
          <w:rFonts w:ascii="Times New Roman" w:hAnsi="Times New Roman"/>
          <w:sz w:val="28"/>
          <w:szCs w:val="28"/>
          <w:vertAlign w:val="superscript"/>
        </w:rPr>
        <w:t xml:space="preserve">5 </w:t>
      </w:r>
      <w:r>
        <w:rPr>
          <w:rFonts w:ascii="Times New Roman" w:hAnsi="Times New Roman"/>
          <w:sz w:val="28"/>
          <w:szCs w:val="28"/>
        </w:rPr>
        <w:t>слова "застройщика или технического заказчика" исключить;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дополнить стать</w:t>
      </w:r>
      <w:r>
        <w:rPr>
          <w:rFonts w:ascii="Times New Roman" w:hAnsi="Times New Roman"/>
          <w:sz w:val="28"/>
          <w:szCs w:val="28"/>
        </w:rPr>
        <w:t>ей 48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"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Статья 48</w:t>
      </w:r>
      <w:r>
        <w:rPr>
          <w:rFonts w:ascii="Times New Roman" w:eastAsia="Times New Roman" w:hAnsi="Times New Roman"/>
          <w:b/>
          <w:bCs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 Технико-экономическое обоснование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Архитектурно-строительное проектирование начинается с подготовки технико-экономического обоснования строительства, реконструкции объекта капитального строительства (далее – технико-экономическое обоснование)</w:t>
      </w:r>
      <w:r w:rsidR="0012580F">
        <w:rPr>
          <w:sz w:val="28"/>
          <w:szCs w:val="28"/>
        </w:rPr>
        <w:t xml:space="preserve"> </w:t>
      </w:r>
      <w:r w:rsidR="0012580F">
        <w:rPr>
          <w:sz w:val="28"/>
          <w:szCs w:val="28"/>
        </w:rPr>
        <w:br/>
      </w:r>
      <w:r>
        <w:rPr>
          <w:sz w:val="28"/>
          <w:szCs w:val="28"/>
        </w:rPr>
        <w:t>в случаях, установленных</w:t>
      </w:r>
      <w:r>
        <w:rPr>
          <w:sz w:val="28"/>
          <w:szCs w:val="28"/>
        </w:rPr>
        <w:t>:</w:t>
      </w:r>
    </w:p>
    <w:p w:rsidR="0012580F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Правительством</w:t>
      </w:r>
      <w:r>
        <w:rPr>
          <w:sz w:val="28"/>
          <w:szCs w:val="28"/>
        </w:rPr>
        <w:t xml:space="preserve"> Российской Федерации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отношении объектов капитального строительства, финансирование строительства, реконструкции которых осуществляется с привлечением средств бюджетов бюджетной системы Российской Федерации, средств юридических лиц, созданных Российской </w:t>
      </w:r>
      <w:r>
        <w:rPr>
          <w:sz w:val="28"/>
          <w:szCs w:val="28"/>
        </w:rPr>
        <w:t>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</w:t>
      </w:r>
      <w:r>
        <w:rPr>
          <w:sz w:val="28"/>
          <w:szCs w:val="28"/>
        </w:rPr>
        <w:t>;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законодательством субъектов Российской Федерации </w:t>
      </w:r>
      <w:r w:rsidR="0012580F">
        <w:rPr>
          <w:sz w:val="28"/>
          <w:szCs w:val="28"/>
        </w:rPr>
        <w:br/>
      </w:r>
      <w:r>
        <w:rPr>
          <w:sz w:val="28"/>
          <w:szCs w:val="28"/>
        </w:rPr>
        <w:t>о градостроительной деятельности в отношении объектов капиталь</w:t>
      </w:r>
      <w:r>
        <w:rPr>
          <w:sz w:val="28"/>
          <w:szCs w:val="28"/>
        </w:rPr>
        <w:t>ного строительства, финансирование строительства, реконструкции которых осуществляется с привлечением средств бюджета субъекта Российской Федерации, средств местного бюджета, средств юридических лиц, созданных субъектами Российской Федерацией, муниципальны</w:t>
      </w:r>
      <w:r>
        <w:rPr>
          <w:sz w:val="28"/>
          <w:szCs w:val="28"/>
        </w:rPr>
        <w:t xml:space="preserve">ми образованиями, юридических лиц, доля в уставных (складочных) капиталах которых </w:t>
      </w:r>
      <w:r>
        <w:rPr>
          <w:sz w:val="28"/>
          <w:szCs w:val="28"/>
        </w:rPr>
        <w:lastRenderedPageBreak/>
        <w:t>субъектов Российской Федерации, муниципальных образований составляет более 50 процентов.</w:t>
      </w:r>
      <w:r>
        <w:rPr>
          <w:sz w:val="28"/>
          <w:szCs w:val="28"/>
        </w:rPr>
        <w:t xml:space="preserve"> </w:t>
      </w:r>
    </w:p>
    <w:p w:rsidR="002B5057" w:rsidRDefault="00994B20" w:rsidP="0012580F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Застройщик, технический заказчик, иное лицо (в случаях, предусмотренных частями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48 настоящего Кодекса) </w:t>
      </w:r>
      <w:r w:rsidR="0012580F">
        <w:rPr>
          <w:sz w:val="28"/>
          <w:szCs w:val="28"/>
        </w:rPr>
        <w:br/>
      </w:r>
      <w:r>
        <w:rPr>
          <w:sz w:val="28"/>
          <w:szCs w:val="28"/>
        </w:rPr>
        <w:t xml:space="preserve">по собственной инициативе может обеспечить подготовку </w:t>
      </w:r>
      <w:r w:rsidR="0012580F">
        <w:rPr>
          <w:sz w:val="28"/>
          <w:szCs w:val="28"/>
        </w:rPr>
        <w:br/>
      </w:r>
      <w:r>
        <w:rPr>
          <w:sz w:val="28"/>
          <w:szCs w:val="28"/>
        </w:rPr>
        <w:t xml:space="preserve">технико-экономического обоснования и его направление на экспертную оценку технико-экономического обоснования, проводимую в соответствии </w:t>
      </w:r>
      <w:r w:rsidR="0012580F">
        <w:rPr>
          <w:sz w:val="28"/>
          <w:szCs w:val="28"/>
        </w:rPr>
        <w:br/>
      </w:r>
      <w:r>
        <w:rPr>
          <w:sz w:val="28"/>
          <w:szCs w:val="28"/>
        </w:rPr>
        <w:t>с настоящей статьей (за исклю</w:t>
      </w:r>
      <w:r>
        <w:rPr>
          <w:sz w:val="28"/>
          <w:szCs w:val="28"/>
        </w:rPr>
        <w:t xml:space="preserve">чением случаев когда подготовка </w:t>
      </w:r>
      <w:r w:rsidR="0012580F">
        <w:rPr>
          <w:sz w:val="28"/>
          <w:szCs w:val="28"/>
        </w:rPr>
        <w:br/>
      </w:r>
      <w:r>
        <w:rPr>
          <w:sz w:val="28"/>
          <w:szCs w:val="28"/>
        </w:rPr>
        <w:t xml:space="preserve">технико-экономического обоснования для конкретного объекта капитального строительства в соответствии с законодательством Российской Федерации является обязательной). 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Технико-экономическое обоснование представляет собой </w:t>
      </w:r>
      <w:r>
        <w:rPr>
          <w:sz w:val="28"/>
          <w:szCs w:val="28"/>
        </w:rPr>
        <w:t>документацию, содержащую обоснование основных технико-экономических показателей объекта капитального строительства, выбора места размещения объекта капитального строительства с учетом его вариативности, основных архитектурно-художественных, технологических</w:t>
      </w:r>
      <w:r>
        <w:rPr>
          <w:sz w:val="28"/>
          <w:szCs w:val="28"/>
        </w:rPr>
        <w:t xml:space="preserve">, конструктивных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>и объемно-планировочных, инженерно-технических и иных решений, необходимых для строительства, реконструкции объекта капитального строительства с учетом их вариативности, обоснование предполагаемой стоимости строительства, реконструкции объ</w:t>
      </w:r>
      <w:r>
        <w:rPr>
          <w:sz w:val="28"/>
          <w:szCs w:val="28"/>
        </w:rPr>
        <w:t>екта капитального строительства с учетом необходимости достижения заданных результатов с использованием наименьшего объема средств (далее - экономности) и (или) достижения наилучшего результата с использованием определенного объема средств (далее -результа</w:t>
      </w:r>
      <w:r>
        <w:rPr>
          <w:sz w:val="28"/>
          <w:szCs w:val="28"/>
        </w:rPr>
        <w:t>тивности).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. В технико-экономическом обосновании предполагаемая стоимость строительства, реконструкции объекта капитального строительства, строительство, реконструкцию которого планируется осуществлять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 xml:space="preserve">с привлечением средств бюджетов бюджетной системы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>Ро</w:t>
      </w:r>
      <w:r>
        <w:rPr>
          <w:sz w:val="28"/>
          <w:szCs w:val="28"/>
        </w:rPr>
        <w:t xml:space="preserve">ссийской Федерации, не должна превышать установленную в решении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 xml:space="preserve">о предоставлении бюджетных ассигнований на осуществление капитальных </w:t>
      </w:r>
      <w:r>
        <w:rPr>
          <w:sz w:val="28"/>
          <w:szCs w:val="28"/>
        </w:rPr>
        <w:lastRenderedPageBreak/>
        <w:t>вложений, принятом в установленном порядке в отношении объекта капитального строительства государственной (муниципальной) с</w:t>
      </w:r>
      <w:r>
        <w:rPr>
          <w:sz w:val="28"/>
          <w:szCs w:val="28"/>
        </w:rPr>
        <w:t>обственности, собственности юридических лиц, не являющихся государственными (муниципальными) учреждениями и государственными (муниципальными) унитарными предприятиями, юридических лиц, созданных Российской Федерацией, субъектами Российской Федерации, муниц</w:t>
      </w:r>
      <w:r>
        <w:rPr>
          <w:sz w:val="28"/>
          <w:szCs w:val="28"/>
        </w:rPr>
        <w:t>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стоимость строительства, реконструкции объекта капитальн</w:t>
      </w:r>
      <w:r>
        <w:rPr>
          <w:sz w:val="28"/>
          <w:szCs w:val="28"/>
        </w:rPr>
        <w:t>ого строительства.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. Технико-экономическое обоснование подготавливается на основе задания застройщика, технического заказчика, иного лица (в случаях, предусмотренных частями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48 настоящего Кодекса)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>на подготовку технико-экономического обосн</w:t>
      </w:r>
      <w:r>
        <w:rPr>
          <w:sz w:val="28"/>
          <w:szCs w:val="28"/>
        </w:rPr>
        <w:t xml:space="preserve">ования. Форма задания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 xml:space="preserve">на подготовку технико-экономического обоснования, необходимого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>для строительства, реконструкции объекта капитального строительства, осуществляемого с привлечением средств бюджетов бюджетной системы Российской Федерации, устанавливаетс</w:t>
      </w:r>
      <w:r>
        <w:rPr>
          <w:sz w:val="28"/>
          <w:szCs w:val="28"/>
        </w:rPr>
        <w:t xml:space="preserve">я уполномоченным Правительством Российской Федерации федеральным органом исполнительной власти.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 xml:space="preserve">При подготовке технико-экономического обоснования в отношении объектов федерального, регионального и местного значения учитываются их основные характеристики и </w:t>
      </w:r>
      <w:r>
        <w:rPr>
          <w:sz w:val="28"/>
          <w:szCs w:val="28"/>
        </w:rPr>
        <w:t>местоположение, предусмотренные документами территориального планирования Российской Федерации, субъектов Российской Федерации, муниципальных образований.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Состав технико-экономического обоснования, а также требования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>к его содержанию устанавливаются фе</w:t>
      </w:r>
      <w:r>
        <w:rPr>
          <w:sz w:val="28"/>
          <w:szCs w:val="28"/>
        </w:rPr>
        <w:t>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>
        <w:rPr>
          <w:sz w:val="28"/>
          <w:szCs w:val="28"/>
        </w:rPr>
        <w:t>. Для обоснования основных технико-экономическ</w:t>
      </w:r>
      <w:r>
        <w:rPr>
          <w:sz w:val="28"/>
          <w:szCs w:val="28"/>
        </w:rPr>
        <w:t xml:space="preserve">их показателей объекта капитального строительства, выбора места размещения объекта капитального строительства, основных архитектурно-художественных, технологических, конструктивных и объемно-планировочных, инженерно-технических и иных решений, необходимых </w:t>
      </w:r>
      <w:r>
        <w:rPr>
          <w:sz w:val="28"/>
          <w:szCs w:val="28"/>
        </w:rPr>
        <w:t xml:space="preserve">для строительства, реконструкции объекта капитального строительства, при подготовке </w:t>
      </w:r>
      <w:r w:rsidR="00A707B7">
        <w:rPr>
          <w:sz w:val="28"/>
          <w:szCs w:val="28"/>
        </w:rPr>
        <w:br/>
      </w:r>
      <w:r>
        <w:rPr>
          <w:sz w:val="28"/>
          <w:szCs w:val="28"/>
        </w:rPr>
        <w:t>технико-экономического обоснования застройщик, технический заказчик, иное лицо (в случаях, предусмотренных частями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48 настоящего Кодекса) вправе обеспечить в</w:t>
      </w:r>
      <w:r>
        <w:rPr>
          <w:sz w:val="28"/>
          <w:szCs w:val="28"/>
        </w:rPr>
        <w:t>ыполнение инженерных изысканий.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. Подготовка технико-экономического обоснования осуществляется лицами, указанными в частях 4 – 5 статьи 48 настоящего Кодекса. Лицом, осуществляющим подготовку технико-экономического обоснования, может являться застройщик,</w:t>
      </w:r>
      <w:r>
        <w:rPr>
          <w:sz w:val="28"/>
          <w:szCs w:val="28"/>
        </w:rPr>
        <w:t xml:space="preserve"> технический заказчик, иное лицо (в случаях, предусмотренных частями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48 настоящего Кодекса) либо индивидуальный предприниматель или юридическое лицо, заключившие договор на подготовку технико-экономического обоснования. </w:t>
      </w:r>
      <w:r w:rsidRPr="00A707B7">
        <w:rPr>
          <w:sz w:val="28"/>
          <w:szCs w:val="28"/>
        </w:rPr>
        <w:t>Исполнением обязатель</w:t>
      </w:r>
      <w:r w:rsidRPr="00A707B7">
        <w:rPr>
          <w:sz w:val="28"/>
          <w:szCs w:val="28"/>
        </w:rPr>
        <w:t>ства по подготовке технико-экономического обоснования в рамках такого договора является технико-экономическое обоснование, получившее положительное заключение экспертной оценки.</w:t>
      </w:r>
      <w:r>
        <w:rPr>
          <w:sz w:val="28"/>
          <w:szCs w:val="28"/>
        </w:rPr>
        <w:t xml:space="preserve"> Лицо, осуществляющее подготовку технико-экономического обоснования, несет отве</w:t>
      </w:r>
      <w:r>
        <w:rPr>
          <w:sz w:val="28"/>
          <w:szCs w:val="28"/>
        </w:rPr>
        <w:t xml:space="preserve">тственность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качество данной документации, ее соответствие составу и требованиям </w:t>
      </w:r>
      <w:r>
        <w:rPr>
          <w:sz w:val="28"/>
          <w:szCs w:val="28"/>
        </w:rPr>
        <w:br/>
      </w:r>
      <w:r>
        <w:rPr>
          <w:sz w:val="28"/>
          <w:szCs w:val="28"/>
        </w:rPr>
        <w:t>к содержанию технико-экономического обоснования, в том числе требованиям технических регламентов и иных обязательных требований, указанных в части 5 статьи 49 настоящего К</w:t>
      </w:r>
      <w:r>
        <w:rPr>
          <w:sz w:val="28"/>
          <w:szCs w:val="28"/>
        </w:rPr>
        <w:t xml:space="preserve">одекса. 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>. Технико-экономическое обоснование, подготовленное в случ</w:t>
      </w:r>
      <w:r>
        <w:rPr>
          <w:sz w:val="28"/>
          <w:szCs w:val="28"/>
        </w:rPr>
        <w:t>аях</w:t>
      </w:r>
      <w:r>
        <w:rPr>
          <w:sz w:val="28"/>
          <w:szCs w:val="28"/>
        </w:rPr>
        <w:t>, предусмотренн</w:t>
      </w:r>
      <w:r>
        <w:rPr>
          <w:sz w:val="28"/>
          <w:szCs w:val="28"/>
        </w:rPr>
        <w:t>ых</w:t>
      </w:r>
      <w:r>
        <w:rPr>
          <w:sz w:val="28"/>
          <w:szCs w:val="28"/>
        </w:rPr>
        <w:t xml:space="preserve"> в част</w:t>
      </w:r>
      <w:r>
        <w:rPr>
          <w:sz w:val="28"/>
          <w:szCs w:val="28"/>
        </w:rPr>
        <w:t>ях</w: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t xml:space="preserve">– 2 </w:t>
      </w:r>
      <w:r>
        <w:rPr>
          <w:sz w:val="28"/>
          <w:szCs w:val="28"/>
        </w:rPr>
        <w:t>настоящей статьи, подлежит направлению застройщиком, техническим заказчиком, иным лицом (в случаях, предусмотренных частями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48 настоящего Кодекса) в орган исполнительной власти или организацию, уполномоченные на проведение </w:t>
      </w:r>
      <w:r>
        <w:rPr>
          <w:sz w:val="28"/>
          <w:szCs w:val="28"/>
        </w:rPr>
        <w:lastRenderedPageBreak/>
        <w:t>экспертизы проектной документации, для проведения экспертной оценки технико-экономического обоснования.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>
        <w:rPr>
          <w:sz w:val="28"/>
          <w:szCs w:val="28"/>
        </w:rPr>
        <w:t>. Предметом экспертной оценки технико-экон</w:t>
      </w:r>
      <w:r>
        <w:rPr>
          <w:sz w:val="28"/>
          <w:szCs w:val="28"/>
        </w:rPr>
        <w:t>омического обоснования является оценка: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обоснованности выбора основных архитектурно-художественных, технологических, конструктивных и объемно-планировочны</w:t>
      </w:r>
      <w:r>
        <w:rPr>
          <w:sz w:val="28"/>
          <w:szCs w:val="28"/>
        </w:rPr>
        <w:t xml:space="preserve">х, инженерно-технических и иных решений, необходимых для строительства, реконструкции объекта капитального строительства, а также планируемых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к применению строительных и отделочных материалов с учетом основных технико-экономических показателей объекта капи</w:t>
      </w:r>
      <w:r>
        <w:rPr>
          <w:sz w:val="28"/>
          <w:szCs w:val="28"/>
        </w:rPr>
        <w:t xml:space="preserve">тального строительства, современного уровня развития техники и технологий, применяемых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в строительстве, в том числе с учетом необходимости обеспечения экономности и (или) результативности при строительстве, реконструкции объекта капитального строительства;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возможности реализации основных архитектурно-художественных, технологических, конструктивных и объемно-планировочных,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инженерно-технических и иных решений, необходимых для строительства, реконструкции объекта капитального строительства, содержащихся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технико-экономическом обосновании, с учетом требований технических регламентов, санитарно-эпидемиологическим требованиям, требованиям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в области охраны окружающей среды, требованиям государственной охраны объектов культурного наследия, требованиям к безопас</w:t>
      </w:r>
      <w:r>
        <w:rPr>
          <w:sz w:val="28"/>
          <w:szCs w:val="28"/>
        </w:rPr>
        <w:t xml:space="preserve">ному использованию атомной энергии, требованиям промышленной безопасности, требованиям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к обеспечению надежности и безопасности электроэнергетических систем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и объектов электроэнергетики, требованиям антитеррористической защищенности объекта;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обоснованнос</w:t>
      </w:r>
      <w:r>
        <w:rPr>
          <w:sz w:val="28"/>
          <w:szCs w:val="28"/>
        </w:rPr>
        <w:t xml:space="preserve">ти выбора основного технологического оборудования на предмет возможности обеспечения требований к основным характеристикам продукции (работ и услуг), их соответствия современному уровню развития техники и технологий, применяемых в строительстве,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том числ</w:t>
      </w:r>
      <w:r>
        <w:rPr>
          <w:sz w:val="28"/>
          <w:szCs w:val="28"/>
        </w:rPr>
        <w:t xml:space="preserve">е с учетом необходимости обеспечения экономности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и (или) результативности при строительстве, реконструкции объекта капитального строительства;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обоснованности выбора места размещения объекта капитального строительства или в отношении объектов федеральног</w:t>
      </w:r>
      <w:r>
        <w:rPr>
          <w:sz w:val="28"/>
          <w:szCs w:val="28"/>
        </w:rPr>
        <w:t xml:space="preserve">о, регионального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и местного значения, размещение которых предусмотрено документами территориального планирования, уточнение их местоположения, в том числе с учетом необходимости обеспечения экономности и (или) результативности при строительстве, реконструк</w:t>
      </w:r>
      <w:r>
        <w:rPr>
          <w:sz w:val="28"/>
          <w:szCs w:val="28"/>
        </w:rPr>
        <w:t>ции объекта капитального строительства;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сроков и этапов строительства объекта капитального строительства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на предмет их оптимальности, в том числе с учетом необходимости обеспечения экономности и (или) результативности при строительстве, реконструкции об</w:t>
      </w:r>
      <w:r>
        <w:rPr>
          <w:sz w:val="28"/>
          <w:szCs w:val="28"/>
        </w:rPr>
        <w:t>ъекта капитального строительства.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 Порядок организации и проведения экспертной оценки технико-экономического обоснования, размер и порядок взимания платы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за ее проведение устанавливаются Правительством Российской Федерации.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Срок экспертной оценки </w:t>
      </w:r>
      <w:r>
        <w:rPr>
          <w:sz w:val="28"/>
          <w:szCs w:val="28"/>
        </w:rPr>
        <w:t xml:space="preserve">технико-экономического обоснования определяется сложностью объекта капитального строительства, но не должен превышать 15 рабочих дней. При экспертной оценке технико-экономического обоснования в отношении особо опасного, технически сложного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или уникального </w:t>
      </w:r>
      <w:r>
        <w:rPr>
          <w:sz w:val="28"/>
          <w:szCs w:val="28"/>
        </w:rPr>
        <w:t>объекта капитального строительства такой срок не должен превышать 20 рабочих дней.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Результатом экспертной оценки технико-экономического обоснования является положительное заключение, содержащее положительную оценку, предусмотренную частью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й статьи, сведения об основных технико-экономических показателях объекта капитального строительства, или отрицательное заключение, содержащее отрицательную оценку решений, предусмотренных технико-экономическим обоснованием, в том числе с учетом части 4 нас</w:t>
      </w:r>
      <w:r>
        <w:rPr>
          <w:sz w:val="28"/>
          <w:szCs w:val="28"/>
        </w:rPr>
        <w:t xml:space="preserve">тоящей статьи, а также выводы о возможности оптимизации выбранных основных решений по объекту </w:t>
      </w:r>
      <w:r>
        <w:rPr>
          <w:sz w:val="28"/>
          <w:szCs w:val="28"/>
        </w:rPr>
        <w:lastRenderedPageBreak/>
        <w:t>капитального строительства, основного технологического оборудования, сроков и этапов строительства, реконструкции с учетом необходимости обеспечения экономности и</w:t>
      </w:r>
      <w:r>
        <w:rPr>
          <w:sz w:val="28"/>
          <w:szCs w:val="28"/>
        </w:rPr>
        <w:t xml:space="preserve"> (или) результативности при строительстве, реконструкции объекта капитального строительства.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  <w:szCs w:val="28"/>
        </w:rPr>
        <w:t>. Не допускается выдача заключения по результатам экспертной оценки технико-экономического обоснования до включения сведений о таком заключении в единый государ</w:t>
      </w:r>
      <w:r>
        <w:rPr>
          <w:sz w:val="28"/>
          <w:szCs w:val="28"/>
        </w:rPr>
        <w:t xml:space="preserve">ственный реестр заключений экспертизы проектной документации объектов капитального строительства,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за исключением случаев, если документы, необходимые для проведения такой экспертной оценки, содержат сведения, составляющие государственную тайну.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>. В случ</w:t>
      </w:r>
      <w:r>
        <w:rPr>
          <w:sz w:val="28"/>
          <w:szCs w:val="28"/>
        </w:rPr>
        <w:t xml:space="preserve">ае если подготовка технико-экономического обоснования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для конкретного объекта капитального строительства в соответствии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с законодательством Российской Федерации является обязательной, задание на проектирование должно утверждаться застройщиком, техническим </w:t>
      </w:r>
      <w:r>
        <w:rPr>
          <w:sz w:val="28"/>
          <w:szCs w:val="28"/>
        </w:rPr>
        <w:t>заказчиком, иным лицом (в случаях, предусмотренных частями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– 1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статьи 48 настоящего Кодекса) после получения положительного заключения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по результатам экспертной оценки технико-экономического обоснования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и соответствовать такому технико-экономическому о</w:t>
      </w:r>
      <w:r>
        <w:rPr>
          <w:sz w:val="28"/>
          <w:szCs w:val="28"/>
        </w:rPr>
        <w:t>боснованию (в том числе в части основных технико-экономических показателей объекта капитального строительства, выбора места размещения объекта капитального строительства, основных архитектурно-художественных, технологических, конструктивных и объемно-плани</w:t>
      </w:r>
      <w:r>
        <w:rPr>
          <w:sz w:val="28"/>
          <w:szCs w:val="28"/>
        </w:rPr>
        <w:t xml:space="preserve">ровочных, инженерно-технических и иных решений, предусмотренных технико-экономическим обоснованием),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если иное не установлено Правительством Российской Федерации, законодательством субъектов Российской Федерации о градостроительной деятельности.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6</w:t>
      </w:r>
      <w:r>
        <w:rPr>
          <w:sz w:val="28"/>
          <w:szCs w:val="28"/>
        </w:rPr>
        <w:t>. При в</w:t>
      </w:r>
      <w:r>
        <w:rPr>
          <w:sz w:val="28"/>
          <w:szCs w:val="28"/>
        </w:rPr>
        <w:t>несении изменений в утвержденное в порядке, предусмотренном частью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стоящей статьи, задание на проектирование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в части изменения основных технико-экономических показателей объекта </w:t>
      </w:r>
      <w:r>
        <w:rPr>
          <w:sz w:val="28"/>
          <w:szCs w:val="28"/>
        </w:rPr>
        <w:lastRenderedPageBreak/>
        <w:t>капитального строительства, выбора места размещения объекта капитального строительства, основных архитектурно-художественных, технологических, ко</w:t>
      </w:r>
      <w:r>
        <w:rPr>
          <w:sz w:val="28"/>
          <w:szCs w:val="28"/>
        </w:rPr>
        <w:t xml:space="preserve">нструктивных и объемно-планировочных, инженерно-технических и иных решений, предусмотренных технико-экономическим обоснованием, в случае если подготовка технико-экономического обоснования для конкретного объекта капитального строительства в соответствии с </w:t>
      </w:r>
      <w:r>
        <w:rPr>
          <w:sz w:val="28"/>
          <w:szCs w:val="28"/>
        </w:rPr>
        <w:t xml:space="preserve">законодательством Российской Федерации является обязательной, такое задание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на проектирование утверждается в новой редакции после получения положительного заключения по результатам экспертной оценки изменений, внесенных в технико-экономическое обоснование.</w:t>
      </w:r>
    </w:p>
    <w:p w:rsidR="002B5057" w:rsidRDefault="00994B20">
      <w:pPr>
        <w:pStyle w:val="aff2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 Технико-экономическое обоснование подготавливается в форме электронного документа, требования к формату которого устанавливаются федеральным органом исполнительной власти, осуществляющим функции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по выработке и реализации государственной политики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и но</w:t>
      </w:r>
      <w:r>
        <w:rPr>
          <w:sz w:val="28"/>
          <w:szCs w:val="28"/>
        </w:rPr>
        <w:t xml:space="preserve">рмативно-правовому регулированию в сфере строительства, архитектуры, градостроительства, за исключением случаев, если технико-экономическое обоснование содержит сведения, составляющие государственную тайну.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В случаях, если застройщик или технический заказч</w:t>
      </w:r>
      <w:r>
        <w:rPr>
          <w:sz w:val="28"/>
          <w:szCs w:val="28"/>
        </w:rPr>
        <w:t xml:space="preserve">ик в соответствии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 xml:space="preserve">с законодательством Российской Федерации обеспечивает формирование </w:t>
      </w:r>
      <w:r w:rsidR="00385F19">
        <w:rPr>
          <w:sz w:val="28"/>
          <w:szCs w:val="28"/>
        </w:rPr>
        <w:br/>
      </w:r>
      <w:r>
        <w:rPr>
          <w:sz w:val="28"/>
          <w:szCs w:val="28"/>
        </w:rPr>
        <w:t>и ведение информационной модели, технико-экономическое обоснование подготавливается в форме, позволяющей осуществлять их использование при формировании и ведении информаци</w:t>
      </w:r>
      <w:r>
        <w:rPr>
          <w:sz w:val="28"/>
          <w:szCs w:val="28"/>
        </w:rPr>
        <w:t>онной модели.";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в статье 49: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 пункте 4 части 3</w:t>
      </w:r>
      <w:r>
        <w:rPr>
          <w:rFonts w:ascii="Times New Roman" w:hAnsi="Times New Roman"/>
          <w:sz w:val="28"/>
          <w:szCs w:val="28"/>
          <w:vertAlign w:val="superscript"/>
        </w:rPr>
        <w:t>8</w:t>
      </w:r>
      <w:r>
        <w:rPr>
          <w:rFonts w:ascii="Times New Roman" w:hAnsi="Times New Roman"/>
          <w:sz w:val="28"/>
          <w:szCs w:val="28"/>
        </w:rPr>
        <w:t xml:space="preserve"> слова "застройщика или технического заказчика" исключить;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3</w:t>
      </w:r>
      <w:r>
        <w:rPr>
          <w:rFonts w:ascii="Times New Roman" w:hAnsi="Times New Roman"/>
          <w:sz w:val="28"/>
          <w:szCs w:val="28"/>
          <w:vertAlign w:val="superscript"/>
        </w:rPr>
        <w:t>9</w:t>
      </w:r>
      <w:r>
        <w:rPr>
          <w:rFonts w:ascii="Times New Roman" w:hAnsi="Times New Roman"/>
          <w:sz w:val="28"/>
          <w:szCs w:val="28"/>
        </w:rPr>
        <w:t xml:space="preserve"> слова "заданию застройщика или технического заказчика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на проектирование" заменить словами "заданию на проектирование";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 части</w:t>
      </w:r>
      <w:r>
        <w:rPr>
          <w:rFonts w:ascii="Times New Roman" w:hAnsi="Times New Roman"/>
          <w:sz w:val="28"/>
          <w:szCs w:val="28"/>
        </w:rPr>
        <w:t xml:space="preserve"> 3.11 слова "застройщика или технического заказчика" исключить;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в пункте 1 части 5 слова "застройщика или технического заказчика" исключить;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часть 8 дополнить подпунктом 9 следующего содержания: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"9) несоответствие задания на проектирование технико-эк</w:t>
      </w:r>
      <w:r>
        <w:rPr>
          <w:rFonts w:ascii="Times New Roman" w:hAnsi="Times New Roman"/>
          <w:sz w:val="28"/>
          <w:szCs w:val="28"/>
        </w:rPr>
        <w:t xml:space="preserve">ономическому обоснованию, получившему положительное заключение по результатам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его экспертной оценки (в том числе в части основных технико-экономических показателей объекта капитального строительства, выбора места размещения объекта капитального строительст</w:t>
      </w:r>
      <w:r>
        <w:rPr>
          <w:rFonts w:ascii="Times New Roman" w:hAnsi="Times New Roman"/>
          <w:sz w:val="28"/>
          <w:szCs w:val="28"/>
        </w:rPr>
        <w:t>ва, основных архитектурно-художественных, технологических, конструктивных и объемно-планировочных, инженерно-технических и иных решений, предусмотренных технико-экономическим обоснованием) в случае если подготовка технико-экономического обоснования для кон</w:t>
      </w:r>
      <w:r>
        <w:rPr>
          <w:rFonts w:ascii="Times New Roman" w:hAnsi="Times New Roman"/>
          <w:sz w:val="28"/>
          <w:szCs w:val="28"/>
        </w:rPr>
        <w:t>кретного объекта капитального строительства в соответствии с законодательством Российской Федерации является обязательной.";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дополнить частью 9.1 следующего содержания: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"9.1. При выявлении в проектной документации и (или) результатах инженерных изыскани</w:t>
      </w:r>
      <w:r>
        <w:rPr>
          <w:rFonts w:ascii="Times New Roman" w:hAnsi="Times New Roman"/>
          <w:sz w:val="28"/>
          <w:szCs w:val="28"/>
        </w:rPr>
        <w:t>й в процессе проведения экспертизы проектной документации и (или) результатов инженерных изысканий недостатков, которые не позволяют сделать выводы в соответствии с предметом экспертизы проектной документации и (или) результатов инженерных изысканий, указа</w:t>
      </w:r>
      <w:r>
        <w:rPr>
          <w:rFonts w:ascii="Times New Roman" w:hAnsi="Times New Roman"/>
          <w:sz w:val="28"/>
          <w:szCs w:val="28"/>
        </w:rPr>
        <w:t xml:space="preserve">нным в части 5 настоящей статьи, в случае если выявленные недостатки невозможно устранить в процессе такой экспертизы, организация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проведению экспертизы вправе отказаться от дальнейшего проведения экспертизы проектной документации и (или) результатов ин</w:t>
      </w:r>
      <w:r>
        <w:rPr>
          <w:rFonts w:ascii="Times New Roman" w:hAnsi="Times New Roman"/>
          <w:sz w:val="28"/>
          <w:szCs w:val="28"/>
        </w:rPr>
        <w:t>женерных изысканий.";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статье 50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>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1 дополнить пунктами 4 – 6 следующего содержания: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"4) сведения о заключениях по результатам экспертной оценки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технико-экономического обоснования, а также о представленном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для проведения такой экспертной оценк</w:t>
      </w:r>
      <w:r>
        <w:rPr>
          <w:rFonts w:ascii="Times New Roman" w:hAnsi="Times New Roman"/>
          <w:sz w:val="28"/>
          <w:szCs w:val="28"/>
        </w:rPr>
        <w:t>и технико-экономическом обосновании;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указанные в пункте 4 настоящей части заключения по результатам экспертной оценки технико-экономического обоснования, а также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технико-экономические обоснования, по результатам рассмотрения которых подготовлены такие з</w:t>
      </w:r>
      <w:r>
        <w:rPr>
          <w:rFonts w:ascii="Times New Roman" w:hAnsi="Times New Roman"/>
          <w:sz w:val="28"/>
          <w:szCs w:val="28"/>
        </w:rPr>
        <w:t>аключения;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3: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слов "о заключениях экспертизы," дополнить словами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"и о заключениях по результатам экспертной оценки технико-экономического обоснования,";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слов "такие заключения," дополнить словами "заключений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по результатам экспертной оценки технико-экономиче</w:t>
      </w:r>
      <w:r>
        <w:rPr>
          <w:rFonts w:ascii="Times New Roman" w:hAnsi="Times New Roman"/>
          <w:sz w:val="28"/>
          <w:szCs w:val="28"/>
        </w:rPr>
        <w:t xml:space="preserve">ского обоснования, </w:t>
      </w:r>
      <w:r w:rsidR="00385F1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 также технико-экономических обоснованиях";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 в пункте 1 части 3 статьи 55</w:t>
      </w:r>
      <w:r>
        <w:rPr>
          <w:rFonts w:ascii="Times New Roman" w:hAnsi="Times New Roman"/>
          <w:sz w:val="28"/>
          <w:szCs w:val="28"/>
          <w:vertAlign w:val="superscript"/>
        </w:rPr>
        <w:t>5-1</w:t>
      </w:r>
      <w:r>
        <w:rPr>
          <w:rFonts w:ascii="Times New Roman" w:hAnsi="Times New Roman"/>
          <w:sz w:val="28"/>
          <w:szCs w:val="28"/>
        </w:rPr>
        <w:t xml:space="preserve"> слова "объекта капитального строительства"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2B5057" w:rsidRDefault="002B505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2B5057" w:rsidRDefault="00994B2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Федеральный закон вступает в силу </w:t>
      </w:r>
      <w:r w:rsidRPr="00385F19">
        <w:rPr>
          <w:rFonts w:ascii="Times New Roman" w:hAnsi="Times New Roman"/>
          <w:sz w:val="28"/>
          <w:szCs w:val="28"/>
        </w:rPr>
        <w:t>с 1 марта 2027 года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sectPr w:rsidR="002B505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20" w:rsidRDefault="00994B20">
      <w:pPr>
        <w:spacing w:after="0" w:line="240" w:lineRule="auto"/>
      </w:pPr>
      <w:r>
        <w:separator/>
      </w:r>
    </w:p>
  </w:endnote>
  <w:endnote w:type="continuationSeparator" w:id="0">
    <w:p w:rsidR="00994B20" w:rsidRDefault="0099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20" w:rsidRDefault="00994B20">
      <w:pPr>
        <w:spacing w:after="0" w:line="240" w:lineRule="auto"/>
      </w:pPr>
      <w:r>
        <w:separator/>
      </w:r>
    </w:p>
  </w:footnote>
  <w:footnote w:type="continuationSeparator" w:id="0">
    <w:p w:rsidR="00994B20" w:rsidRDefault="0099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2923989"/>
      <w:docPartObj>
        <w:docPartGallery w:val="Page Numbers (Top of Page)"/>
        <w:docPartUnique/>
      </w:docPartObj>
    </w:sdtPr>
    <w:sdtEndPr/>
    <w:sdtContent>
      <w:p w:rsidR="002B5057" w:rsidRDefault="00994B20">
        <w:pPr>
          <w:pStyle w:val="af4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385F19">
          <w:rPr>
            <w:rFonts w:ascii="Times New Roman" w:hAnsi="Times New Roman"/>
            <w:noProof/>
            <w:sz w:val="24"/>
            <w:szCs w:val="24"/>
          </w:rPr>
          <w:t>12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B5057" w:rsidRDefault="002B505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C5B32"/>
    <w:multiLevelType w:val="hybridMultilevel"/>
    <w:tmpl w:val="8A9861F8"/>
    <w:lvl w:ilvl="0" w:tplc="D3261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7DE4FFC">
      <w:start w:val="1"/>
      <w:numFmt w:val="lowerLetter"/>
      <w:lvlText w:val="%2."/>
      <w:lvlJc w:val="left"/>
      <w:pPr>
        <w:ind w:left="1789" w:hanging="360"/>
      </w:pPr>
    </w:lvl>
    <w:lvl w:ilvl="2" w:tplc="D9041458">
      <w:start w:val="1"/>
      <w:numFmt w:val="lowerRoman"/>
      <w:lvlText w:val="%3."/>
      <w:lvlJc w:val="right"/>
      <w:pPr>
        <w:ind w:left="2509" w:hanging="180"/>
      </w:pPr>
    </w:lvl>
    <w:lvl w:ilvl="3" w:tplc="FA484888">
      <w:start w:val="1"/>
      <w:numFmt w:val="decimal"/>
      <w:lvlText w:val="%4."/>
      <w:lvlJc w:val="left"/>
      <w:pPr>
        <w:ind w:left="3229" w:hanging="360"/>
      </w:pPr>
    </w:lvl>
    <w:lvl w:ilvl="4" w:tplc="F200A712">
      <w:start w:val="1"/>
      <w:numFmt w:val="lowerLetter"/>
      <w:lvlText w:val="%5."/>
      <w:lvlJc w:val="left"/>
      <w:pPr>
        <w:ind w:left="3949" w:hanging="360"/>
      </w:pPr>
    </w:lvl>
    <w:lvl w:ilvl="5" w:tplc="04545FF2">
      <w:start w:val="1"/>
      <w:numFmt w:val="lowerRoman"/>
      <w:lvlText w:val="%6."/>
      <w:lvlJc w:val="right"/>
      <w:pPr>
        <w:ind w:left="4669" w:hanging="180"/>
      </w:pPr>
    </w:lvl>
    <w:lvl w:ilvl="6" w:tplc="2F02B25C">
      <w:start w:val="1"/>
      <w:numFmt w:val="decimal"/>
      <w:lvlText w:val="%7."/>
      <w:lvlJc w:val="left"/>
      <w:pPr>
        <w:ind w:left="5389" w:hanging="360"/>
      </w:pPr>
    </w:lvl>
    <w:lvl w:ilvl="7" w:tplc="29645C96">
      <w:start w:val="1"/>
      <w:numFmt w:val="lowerLetter"/>
      <w:lvlText w:val="%8."/>
      <w:lvlJc w:val="left"/>
      <w:pPr>
        <w:ind w:left="6109" w:hanging="360"/>
      </w:pPr>
    </w:lvl>
    <w:lvl w:ilvl="8" w:tplc="5B4024A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2E36B1"/>
    <w:multiLevelType w:val="hybridMultilevel"/>
    <w:tmpl w:val="B486F40C"/>
    <w:lvl w:ilvl="0" w:tplc="139E0C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12A6A72">
      <w:start w:val="1"/>
      <w:numFmt w:val="lowerLetter"/>
      <w:lvlText w:val="%2."/>
      <w:lvlJc w:val="left"/>
      <w:pPr>
        <w:ind w:left="1789" w:hanging="360"/>
      </w:pPr>
    </w:lvl>
    <w:lvl w:ilvl="2" w:tplc="1CA2F210">
      <w:start w:val="1"/>
      <w:numFmt w:val="lowerRoman"/>
      <w:lvlText w:val="%3."/>
      <w:lvlJc w:val="right"/>
      <w:pPr>
        <w:ind w:left="2509" w:hanging="180"/>
      </w:pPr>
    </w:lvl>
    <w:lvl w:ilvl="3" w:tplc="E118E7AE">
      <w:start w:val="1"/>
      <w:numFmt w:val="decimal"/>
      <w:lvlText w:val="%4."/>
      <w:lvlJc w:val="left"/>
      <w:pPr>
        <w:ind w:left="3229" w:hanging="360"/>
      </w:pPr>
    </w:lvl>
    <w:lvl w:ilvl="4" w:tplc="AD9020A8">
      <w:start w:val="1"/>
      <w:numFmt w:val="lowerLetter"/>
      <w:lvlText w:val="%5."/>
      <w:lvlJc w:val="left"/>
      <w:pPr>
        <w:ind w:left="3949" w:hanging="360"/>
      </w:pPr>
    </w:lvl>
    <w:lvl w:ilvl="5" w:tplc="44388582">
      <w:start w:val="1"/>
      <w:numFmt w:val="lowerRoman"/>
      <w:lvlText w:val="%6."/>
      <w:lvlJc w:val="right"/>
      <w:pPr>
        <w:ind w:left="4669" w:hanging="180"/>
      </w:pPr>
    </w:lvl>
    <w:lvl w:ilvl="6" w:tplc="3A808C68">
      <w:start w:val="1"/>
      <w:numFmt w:val="decimal"/>
      <w:lvlText w:val="%7."/>
      <w:lvlJc w:val="left"/>
      <w:pPr>
        <w:ind w:left="5389" w:hanging="360"/>
      </w:pPr>
    </w:lvl>
    <w:lvl w:ilvl="7" w:tplc="D5383BE4">
      <w:start w:val="1"/>
      <w:numFmt w:val="lowerLetter"/>
      <w:lvlText w:val="%8."/>
      <w:lvlJc w:val="left"/>
      <w:pPr>
        <w:ind w:left="6109" w:hanging="360"/>
      </w:pPr>
    </w:lvl>
    <w:lvl w:ilvl="8" w:tplc="E9CCE3C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096621"/>
    <w:multiLevelType w:val="hybridMultilevel"/>
    <w:tmpl w:val="9F9CC922"/>
    <w:lvl w:ilvl="0" w:tplc="A8D687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56639DA">
      <w:start w:val="1"/>
      <w:numFmt w:val="lowerLetter"/>
      <w:lvlText w:val="%2."/>
      <w:lvlJc w:val="left"/>
      <w:pPr>
        <w:ind w:left="1789" w:hanging="360"/>
      </w:pPr>
    </w:lvl>
    <w:lvl w:ilvl="2" w:tplc="BBB47852">
      <w:start w:val="1"/>
      <w:numFmt w:val="lowerRoman"/>
      <w:lvlText w:val="%3."/>
      <w:lvlJc w:val="right"/>
      <w:pPr>
        <w:ind w:left="2509" w:hanging="180"/>
      </w:pPr>
    </w:lvl>
    <w:lvl w:ilvl="3" w:tplc="40488052">
      <w:start w:val="1"/>
      <w:numFmt w:val="decimal"/>
      <w:lvlText w:val="%4."/>
      <w:lvlJc w:val="left"/>
      <w:pPr>
        <w:ind w:left="3229" w:hanging="360"/>
      </w:pPr>
    </w:lvl>
    <w:lvl w:ilvl="4" w:tplc="283C0260">
      <w:start w:val="1"/>
      <w:numFmt w:val="lowerLetter"/>
      <w:lvlText w:val="%5."/>
      <w:lvlJc w:val="left"/>
      <w:pPr>
        <w:ind w:left="3949" w:hanging="360"/>
      </w:pPr>
    </w:lvl>
    <w:lvl w:ilvl="5" w:tplc="7862B2D4">
      <w:start w:val="1"/>
      <w:numFmt w:val="lowerRoman"/>
      <w:lvlText w:val="%6."/>
      <w:lvlJc w:val="right"/>
      <w:pPr>
        <w:ind w:left="4669" w:hanging="180"/>
      </w:pPr>
    </w:lvl>
    <w:lvl w:ilvl="6" w:tplc="200608F8">
      <w:start w:val="1"/>
      <w:numFmt w:val="decimal"/>
      <w:lvlText w:val="%7."/>
      <w:lvlJc w:val="left"/>
      <w:pPr>
        <w:ind w:left="5389" w:hanging="360"/>
      </w:pPr>
    </w:lvl>
    <w:lvl w:ilvl="7" w:tplc="67382F40">
      <w:start w:val="1"/>
      <w:numFmt w:val="lowerLetter"/>
      <w:lvlText w:val="%8."/>
      <w:lvlJc w:val="left"/>
      <w:pPr>
        <w:ind w:left="6109" w:hanging="360"/>
      </w:pPr>
    </w:lvl>
    <w:lvl w:ilvl="8" w:tplc="FCBA353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57"/>
    <w:rsid w:val="0012580F"/>
    <w:rsid w:val="002B5057"/>
    <w:rsid w:val="00385F19"/>
    <w:rsid w:val="00994B20"/>
    <w:rsid w:val="00A7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E05E"/>
  <w15:docId w15:val="{6D74057E-2402-4C52-ADE5-8AD75E8C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Calibri" w:hAnsi="Segoe UI" w:cs="Segoe UI"/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997F-87A5-4646-AB8C-9B3F609E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Коган Павел Борисович</dc:creator>
  <cp:lastModifiedBy>Недорезов Михаил Михайлович</cp:lastModifiedBy>
  <cp:revision>2</cp:revision>
  <dcterms:created xsi:type="dcterms:W3CDTF">2026-03-26T13:58:00Z</dcterms:created>
  <dcterms:modified xsi:type="dcterms:W3CDTF">2026-03-26T13:58:00Z</dcterms:modified>
</cp:coreProperties>
</file>